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1A2BE50" w14:textId="77777777" w:rsidR="00900D5B" w:rsidRDefault="00C70F0F">
      <w:pPr>
        <w:pBdr>
          <w:top w:val="nil"/>
          <w:left w:val="nil"/>
          <w:bottom w:val="nil"/>
          <w:right w:val="nil"/>
          <w:between w:val="nil"/>
        </w:pBdr>
        <w:spacing w:line="276" w:lineRule="auto"/>
        <w:ind w:firstLine="0"/>
        <w:jc w:val="left"/>
        <w:rPr>
          <w:rFonts w:ascii="Arial" w:eastAsia="Arial" w:hAnsi="Arial" w:cs="Arial"/>
          <w:color w:val="000000"/>
          <w:sz w:val="22"/>
          <w:szCs w:val="22"/>
        </w:rPr>
      </w:pPr>
      <w:r>
        <w:rPr>
          <w:rFonts w:ascii="Arial" w:eastAsia="Arial" w:hAnsi="Arial" w:cs="Arial"/>
          <w:sz w:val="22"/>
          <w:szCs w:val="22"/>
        </w:rPr>
        <w:t xml:space="preserve"> </w:t>
      </w:r>
    </w:p>
    <w:tbl>
      <w:tblPr>
        <w:tblStyle w:val="a"/>
        <w:tblW w:w="9631"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810"/>
        <w:gridCol w:w="2053"/>
        <w:gridCol w:w="3768"/>
      </w:tblGrid>
      <w:tr w:rsidR="00900D5B" w14:paraId="73983218" w14:textId="77777777">
        <w:trPr>
          <w:trHeight w:val="620"/>
        </w:trPr>
        <w:tc>
          <w:tcPr>
            <w:tcW w:w="3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6BEA3E" w14:textId="1F651BA8" w:rsidR="00900D5B" w:rsidRPr="00CC784F" w:rsidRDefault="00900D5B">
            <w:pPr>
              <w:ind w:left="100" w:right="100"/>
              <w:rPr>
                <w:rFonts w:ascii="Gotham" w:hAnsi="Gotham"/>
              </w:rPr>
            </w:pPr>
          </w:p>
        </w:tc>
        <w:tc>
          <w:tcPr>
            <w:tcW w:w="2053"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0604A5" w14:textId="77777777" w:rsidR="00900D5B" w:rsidRDefault="00900D5B">
            <w:pPr>
              <w:ind w:left="100" w:right="100"/>
            </w:pPr>
          </w:p>
        </w:tc>
        <w:tc>
          <w:tcPr>
            <w:tcW w:w="376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ED09A7" w14:textId="77777777" w:rsidR="00900D5B" w:rsidRPr="00CC784F" w:rsidRDefault="00C70F0F">
            <w:pPr>
              <w:ind w:left="100" w:right="100"/>
              <w:rPr>
                <w:rFonts w:ascii="Gotham" w:hAnsi="Gotham"/>
              </w:rPr>
            </w:pPr>
            <w:r w:rsidRPr="00CC784F">
              <w:rPr>
                <w:rFonts w:ascii="Gotham" w:hAnsi="Gotham"/>
                <w:sz w:val="20"/>
              </w:rPr>
              <w:t>Fecha: 10/10/2019</w:t>
            </w:r>
          </w:p>
        </w:tc>
      </w:tr>
      <w:tr w:rsidR="00900D5B" w14:paraId="50315785" w14:textId="77777777" w:rsidTr="00CC784F">
        <w:trPr>
          <w:trHeight w:val="1045"/>
        </w:trPr>
        <w:tc>
          <w:tcPr>
            <w:tcW w:w="9631"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6A83F" w14:textId="77777777" w:rsidR="00900D5B" w:rsidRPr="00CC784F" w:rsidRDefault="00C70F0F">
            <w:pPr>
              <w:rPr>
                <w:rFonts w:ascii="Gotham" w:hAnsi="Gotham"/>
                <w:b/>
              </w:rPr>
            </w:pPr>
            <w:r w:rsidRPr="00CC784F">
              <w:rPr>
                <w:rFonts w:ascii="Gotham" w:hAnsi="Gotham"/>
                <w:b/>
              </w:rPr>
              <w:t>Caracterización sobre el avance en un Sistema de Vigilancia Epidemiológica Ambiental basado en fuentes primarias y secundarias</w:t>
            </w:r>
          </w:p>
        </w:tc>
      </w:tr>
      <w:tr w:rsidR="00900D5B" w14:paraId="23024BEB" w14:textId="77777777">
        <w:trPr>
          <w:trHeight w:val="680"/>
        </w:trPr>
        <w:tc>
          <w:tcPr>
            <w:tcW w:w="9631"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F772F8" w14:textId="77777777" w:rsidR="00900D5B" w:rsidRPr="00CC784F" w:rsidRDefault="00C70F0F">
            <w:pPr>
              <w:ind w:left="100" w:right="100"/>
              <w:rPr>
                <w:rFonts w:ascii="Gotham" w:hAnsi="Gotham"/>
                <w:b/>
              </w:rPr>
            </w:pPr>
            <w:r w:rsidRPr="00CC784F">
              <w:rPr>
                <w:rFonts w:ascii="Gotham" w:hAnsi="Gotham"/>
                <w:b/>
              </w:rPr>
              <w:t>Coordinación de Salud Ambiental - Dirección de Salud y Educación Ambiental</w:t>
            </w:r>
          </w:p>
        </w:tc>
      </w:tr>
    </w:tbl>
    <w:p w14:paraId="2A273636" w14:textId="77777777" w:rsidR="00900D5B" w:rsidRDefault="00900D5B"/>
    <w:p w14:paraId="3D57862A" w14:textId="77777777" w:rsidR="00900D5B" w:rsidRDefault="00900D5B"/>
    <w:p w14:paraId="61C2DD36" w14:textId="4CA36448" w:rsidR="00900D5B" w:rsidRDefault="00900D5B">
      <w:pPr>
        <w:tabs>
          <w:tab w:val="left" w:pos="6530"/>
        </w:tabs>
      </w:pPr>
    </w:p>
    <w:p w14:paraId="5AC02E76" w14:textId="77777777" w:rsidR="00900D5B" w:rsidRDefault="00900D5B"/>
    <w:p w14:paraId="19C347ED" w14:textId="77777777" w:rsidR="00900D5B" w:rsidRDefault="00C70F0F">
      <w:pPr>
        <w:jc w:val="center"/>
        <w:rPr>
          <w:b/>
          <w:sz w:val="36"/>
          <w:szCs w:val="36"/>
        </w:rPr>
      </w:pPr>
      <w:r>
        <w:rPr>
          <w:b/>
          <w:sz w:val="36"/>
          <w:szCs w:val="36"/>
        </w:rPr>
        <w:t>Caracterización sobre el avance en un Sistema de Vigilancia Epidemiológica Ambiental basado en fuentes primarias y secundarias</w:t>
      </w:r>
    </w:p>
    <w:p w14:paraId="73AB0784" w14:textId="77777777" w:rsidR="00900D5B" w:rsidRDefault="00900D5B">
      <w:pPr>
        <w:ind w:left="3545"/>
        <w:rPr>
          <w:color w:val="7F7F7F"/>
          <w:sz w:val="32"/>
          <w:szCs w:val="32"/>
        </w:rPr>
      </w:pPr>
    </w:p>
    <w:p w14:paraId="034C4A8B" w14:textId="77777777" w:rsidR="00900D5B" w:rsidRDefault="00900D5B">
      <w:pPr>
        <w:ind w:left="3686"/>
        <w:rPr>
          <w:color w:val="7F7F7F"/>
          <w:sz w:val="32"/>
          <w:szCs w:val="32"/>
        </w:rPr>
      </w:pPr>
    </w:p>
    <w:p w14:paraId="20D46614" w14:textId="77777777" w:rsidR="00900D5B" w:rsidRDefault="00C70F0F">
      <w:pPr>
        <w:ind w:left="3686"/>
        <w:rPr>
          <w:color w:val="7F7F7F"/>
          <w:sz w:val="32"/>
          <w:szCs w:val="32"/>
        </w:rPr>
      </w:pPr>
      <w:r>
        <w:rPr>
          <w:noProof/>
          <w:lang w:val="es-ES"/>
        </w:rPr>
        <w:drawing>
          <wp:anchor distT="0" distB="0" distL="114300" distR="114300" simplePos="0" relativeHeight="251658240" behindDoc="0" locked="0" layoutInCell="1" hidden="0" allowOverlap="1" wp14:anchorId="07FA0FD5" wp14:editId="1F3E2616">
            <wp:simplePos x="0" y="0"/>
            <wp:positionH relativeFrom="column">
              <wp:posOffset>3914775</wp:posOffset>
            </wp:positionH>
            <wp:positionV relativeFrom="paragraph">
              <wp:posOffset>351155</wp:posOffset>
            </wp:positionV>
            <wp:extent cx="2260800" cy="720000"/>
            <wp:effectExtent l="0" t="0" r="0" b="0"/>
            <wp:wrapSquare wrapText="bothSides" distT="0" distB="0" distL="114300" distR="114300"/>
            <wp:docPr id="7" name="image2.png" descr="E:\Membretes, Carátulas y Otros\Manual de estilo y otros - Noviembre 2017\Logo ACUMAR Gris Oscuro.png"/>
            <wp:cNvGraphicFramePr/>
            <a:graphic xmlns:a="http://schemas.openxmlformats.org/drawingml/2006/main">
              <a:graphicData uri="http://schemas.openxmlformats.org/drawingml/2006/picture">
                <pic:pic xmlns:pic="http://schemas.openxmlformats.org/drawingml/2006/picture">
                  <pic:nvPicPr>
                    <pic:cNvPr id="0" name="image2.png" descr="E:\Membretes, Carátulas y Otros\Manual de estilo y otros - Noviembre 2017\Logo ACUMAR Gris Oscuro.png"/>
                    <pic:cNvPicPr preferRelativeResize="0"/>
                  </pic:nvPicPr>
                  <pic:blipFill>
                    <a:blip r:embed="rId8"/>
                    <a:srcRect/>
                    <a:stretch>
                      <a:fillRect/>
                    </a:stretch>
                  </pic:blipFill>
                  <pic:spPr>
                    <a:xfrm>
                      <a:off x="0" y="0"/>
                      <a:ext cx="2260800" cy="720000"/>
                    </a:xfrm>
                    <a:prstGeom prst="rect">
                      <a:avLst/>
                    </a:prstGeom>
                    <a:ln/>
                  </pic:spPr>
                </pic:pic>
              </a:graphicData>
            </a:graphic>
          </wp:anchor>
        </w:drawing>
      </w:r>
    </w:p>
    <w:p w14:paraId="0F5CCDDC" w14:textId="77777777" w:rsidR="00900D5B" w:rsidRDefault="00900D5B">
      <w:pPr>
        <w:ind w:left="3686"/>
        <w:rPr>
          <w:color w:val="7F7F7F"/>
        </w:rPr>
      </w:pPr>
    </w:p>
    <w:p w14:paraId="76522B10" w14:textId="77777777" w:rsidR="00900D5B" w:rsidRDefault="00900D5B">
      <w:pPr>
        <w:ind w:left="3544"/>
        <w:rPr>
          <w:color w:val="7F7F7F"/>
        </w:rPr>
      </w:pPr>
    </w:p>
    <w:p w14:paraId="494B0337" w14:textId="77777777" w:rsidR="00900D5B" w:rsidRDefault="00900D5B">
      <w:pPr>
        <w:ind w:left="3544"/>
        <w:rPr>
          <w:color w:val="7F7F7F"/>
        </w:rPr>
      </w:pPr>
    </w:p>
    <w:p w14:paraId="5DC73F4D" w14:textId="77777777" w:rsidR="00900D5B" w:rsidRDefault="00900D5B">
      <w:pPr>
        <w:ind w:left="3544"/>
        <w:rPr>
          <w:color w:val="7F7F7F"/>
        </w:rPr>
      </w:pPr>
    </w:p>
    <w:p w14:paraId="3FD46382" w14:textId="77777777" w:rsidR="00900D5B" w:rsidRPr="00CC784F" w:rsidRDefault="00C70F0F">
      <w:pPr>
        <w:tabs>
          <w:tab w:val="center" w:pos="4419"/>
          <w:tab w:val="left" w:pos="6358"/>
        </w:tabs>
        <w:rPr>
          <w:color w:val="595959"/>
          <w:szCs w:val="28"/>
        </w:rPr>
      </w:pPr>
      <w:r w:rsidRPr="00CC784F">
        <w:rPr>
          <w:color w:val="595959"/>
          <w:szCs w:val="28"/>
        </w:rPr>
        <w:t>Dirección de Salud y Educación Ambiental (DSyEA)</w:t>
      </w:r>
    </w:p>
    <w:p w14:paraId="51FA59B4" w14:textId="77777777" w:rsidR="00900D5B" w:rsidRPr="00CC784F" w:rsidRDefault="00C70F0F">
      <w:pPr>
        <w:tabs>
          <w:tab w:val="center" w:pos="4419"/>
          <w:tab w:val="left" w:pos="6358"/>
        </w:tabs>
        <w:rPr>
          <w:color w:val="595959"/>
          <w:sz w:val="16"/>
          <w:szCs w:val="18"/>
        </w:rPr>
      </w:pPr>
      <w:r w:rsidRPr="00CC784F">
        <w:rPr>
          <w:color w:val="595959"/>
          <w:sz w:val="16"/>
          <w:szCs w:val="18"/>
        </w:rPr>
        <w:t>salud@ACUMAR.gov.ar</w:t>
      </w:r>
    </w:p>
    <w:p w14:paraId="0C502250" w14:textId="77777777" w:rsidR="00900D5B" w:rsidRDefault="00900D5B">
      <w:pPr>
        <w:tabs>
          <w:tab w:val="center" w:pos="4419"/>
          <w:tab w:val="left" w:pos="6358"/>
        </w:tabs>
        <w:rPr>
          <w:color w:val="7F7F7F"/>
        </w:rPr>
      </w:pPr>
    </w:p>
    <w:p w14:paraId="79411B52" w14:textId="7D77FF7C" w:rsidR="00900D5B" w:rsidRDefault="00900D5B">
      <w:pPr>
        <w:rPr>
          <w:b/>
        </w:rPr>
      </w:pPr>
    </w:p>
    <w:p w14:paraId="7F914522" w14:textId="77777777" w:rsidR="006941D1" w:rsidRDefault="006941D1">
      <w:pPr>
        <w:rPr>
          <w:b/>
        </w:rPr>
      </w:pPr>
    </w:p>
    <w:p w14:paraId="51C204D6" w14:textId="77777777" w:rsidR="00900D5B" w:rsidRPr="00CC784F" w:rsidRDefault="00C70F0F">
      <w:pPr>
        <w:rPr>
          <w:b/>
          <w:sz w:val="22"/>
        </w:rPr>
      </w:pPr>
      <w:r w:rsidRPr="00CC784F">
        <w:rPr>
          <w:b/>
          <w:sz w:val="22"/>
        </w:rPr>
        <w:lastRenderedPageBreak/>
        <w:t>Dirección de Salud y Educación Ambiental</w:t>
      </w:r>
    </w:p>
    <w:p w14:paraId="1B405CE3" w14:textId="77777777" w:rsidR="00900D5B" w:rsidRPr="00CC784F" w:rsidRDefault="00C70F0F">
      <w:pPr>
        <w:rPr>
          <w:sz w:val="22"/>
        </w:rPr>
      </w:pPr>
      <w:r w:rsidRPr="00CC784F">
        <w:rPr>
          <w:sz w:val="22"/>
        </w:rPr>
        <w:t>Dra. Susana García</w:t>
      </w:r>
    </w:p>
    <w:p w14:paraId="0F382D76" w14:textId="77777777" w:rsidR="00900D5B" w:rsidRPr="00CC784F" w:rsidRDefault="00900D5B">
      <w:pPr>
        <w:rPr>
          <w:b/>
          <w:color w:val="365F91"/>
          <w:sz w:val="22"/>
        </w:rPr>
      </w:pPr>
    </w:p>
    <w:p w14:paraId="7934B5CC" w14:textId="77777777" w:rsidR="00900D5B" w:rsidRPr="00CC784F" w:rsidRDefault="00C70F0F">
      <w:pPr>
        <w:rPr>
          <w:b/>
          <w:sz w:val="22"/>
        </w:rPr>
      </w:pPr>
      <w:r w:rsidRPr="00CC784F">
        <w:rPr>
          <w:b/>
          <w:sz w:val="22"/>
        </w:rPr>
        <w:t>Coordinación de Salud Ambiental</w:t>
      </w:r>
    </w:p>
    <w:p w14:paraId="762F3A35" w14:textId="77777777" w:rsidR="00900D5B" w:rsidRPr="00CC784F" w:rsidRDefault="00C70F0F">
      <w:pPr>
        <w:rPr>
          <w:sz w:val="22"/>
        </w:rPr>
      </w:pPr>
      <w:r w:rsidRPr="00CC784F">
        <w:rPr>
          <w:sz w:val="22"/>
        </w:rPr>
        <w:t xml:space="preserve">Dra. Juliana </w:t>
      </w:r>
      <w:proofErr w:type="spellStart"/>
      <w:r w:rsidRPr="00CC784F">
        <w:rPr>
          <w:sz w:val="22"/>
        </w:rPr>
        <w:t>Finkelstein</w:t>
      </w:r>
      <w:proofErr w:type="spellEnd"/>
    </w:p>
    <w:p w14:paraId="0CD90110" w14:textId="77777777" w:rsidR="00900D5B" w:rsidRDefault="00900D5B">
      <w:pPr>
        <w:rPr>
          <w:b/>
        </w:rPr>
      </w:pPr>
    </w:p>
    <w:p w14:paraId="7C0A7563" w14:textId="77777777" w:rsidR="00900D5B" w:rsidRDefault="00900D5B">
      <w:pPr>
        <w:rPr>
          <w:b/>
        </w:rPr>
      </w:pPr>
    </w:p>
    <w:p w14:paraId="3846481B" w14:textId="77777777" w:rsidR="00900D5B" w:rsidRDefault="00900D5B">
      <w:pPr>
        <w:rPr>
          <w:b/>
        </w:rPr>
      </w:pPr>
    </w:p>
    <w:p w14:paraId="7B49186F" w14:textId="77777777" w:rsidR="00900D5B" w:rsidRDefault="00900D5B">
      <w:pPr>
        <w:keepNext/>
        <w:keepLines/>
        <w:rPr>
          <w:b/>
        </w:rPr>
      </w:pPr>
    </w:p>
    <w:p w14:paraId="3E3B585B" w14:textId="77777777" w:rsidR="00900D5B" w:rsidRDefault="00C70F0F">
      <w:pPr>
        <w:keepNext/>
        <w:keepLines/>
        <w:rPr>
          <w:b/>
        </w:rPr>
      </w:pPr>
      <w:r>
        <w:br w:type="page"/>
      </w:r>
    </w:p>
    <w:p w14:paraId="05B9629E" w14:textId="77777777" w:rsidR="00900D5B" w:rsidRDefault="00900D5B">
      <w:pPr>
        <w:keepNext/>
        <w:keepLines/>
      </w:pPr>
    </w:p>
    <w:sdt>
      <w:sdtPr>
        <w:id w:val="-18709097"/>
        <w:docPartObj>
          <w:docPartGallery w:val="Table of Contents"/>
          <w:docPartUnique/>
        </w:docPartObj>
      </w:sdtPr>
      <w:sdtEndPr>
        <w:rPr>
          <w:sz w:val="22"/>
        </w:rPr>
      </w:sdtEndPr>
      <w:sdtContent>
        <w:p w14:paraId="5F3B5469" w14:textId="4458C9B3" w:rsidR="002A705D" w:rsidRPr="008134F5" w:rsidRDefault="00C70F0F">
          <w:pPr>
            <w:pStyle w:val="TDC1"/>
            <w:tabs>
              <w:tab w:val="right" w:pos="9629"/>
            </w:tabs>
            <w:rPr>
              <w:rFonts w:asciiTheme="minorHAnsi" w:eastAsiaTheme="minorEastAsia" w:hAnsiTheme="minorHAnsi" w:cstheme="minorBidi"/>
              <w:noProof/>
              <w:sz w:val="20"/>
              <w:szCs w:val="22"/>
              <w:lang w:val="es-ES"/>
            </w:rPr>
          </w:pPr>
          <w:r w:rsidRPr="008134F5">
            <w:rPr>
              <w:sz w:val="22"/>
            </w:rPr>
            <w:fldChar w:fldCharType="begin"/>
          </w:r>
          <w:r w:rsidRPr="008134F5">
            <w:rPr>
              <w:sz w:val="22"/>
            </w:rPr>
            <w:instrText xml:space="preserve"> TOC \h \u \z </w:instrText>
          </w:r>
          <w:r w:rsidRPr="008134F5">
            <w:rPr>
              <w:sz w:val="22"/>
            </w:rPr>
            <w:fldChar w:fldCharType="separate"/>
          </w:r>
          <w:hyperlink w:anchor="_Toc21530827" w:history="1">
            <w:r w:rsidR="002A705D" w:rsidRPr="008134F5">
              <w:rPr>
                <w:rStyle w:val="Hipervnculo"/>
                <w:noProof/>
                <w:sz w:val="22"/>
              </w:rPr>
              <w:t>Resumen ejecutivo</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_Toc21530827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4</w:t>
            </w:r>
            <w:r w:rsidR="002A705D" w:rsidRPr="008134F5">
              <w:rPr>
                <w:noProof/>
                <w:webHidden/>
                <w:sz w:val="22"/>
              </w:rPr>
              <w:fldChar w:fldCharType="end"/>
            </w:r>
          </w:hyperlink>
        </w:p>
        <w:p w14:paraId="02221BC9" w14:textId="0261B743"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28" w:history="1">
            <w:r w:rsidR="002A705D" w:rsidRPr="008134F5">
              <w:rPr>
                <w:rStyle w:val="Hipervnculo"/>
                <w:noProof/>
                <w:sz w:val="22"/>
              </w:rPr>
              <w:t>I. Introducción</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_Toc21530828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8</w:t>
            </w:r>
            <w:r w:rsidR="002A705D" w:rsidRPr="008134F5">
              <w:rPr>
                <w:noProof/>
                <w:webHidden/>
                <w:sz w:val="22"/>
              </w:rPr>
              <w:fldChar w:fldCharType="end"/>
            </w:r>
          </w:hyperlink>
        </w:p>
        <w:p w14:paraId="7190A71D" w14:textId="77E38165"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29" w:history="1">
            <w:r w:rsidR="002A705D" w:rsidRPr="008134F5">
              <w:rPr>
                <w:rStyle w:val="Hipervnculo"/>
                <w:noProof/>
                <w:sz w:val="22"/>
                <w:highlight w:val="white"/>
              </w:rPr>
              <w:t>II. Análisis de Información disponible a partir de fuentes secundarias:</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_Toc21530829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10</w:t>
            </w:r>
            <w:r w:rsidR="002A705D" w:rsidRPr="008134F5">
              <w:rPr>
                <w:noProof/>
                <w:webHidden/>
                <w:sz w:val="22"/>
              </w:rPr>
              <w:fldChar w:fldCharType="end"/>
            </w:r>
          </w:hyperlink>
        </w:p>
        <w:p w14:paraId="5567ED1C" w14:textId="30E49437" w:rsidR="002A705D" w:rsidRPr="008134F5" w:rsidRDefault="00942DA1">
          <w:pPr>
            <w:pStyle w:val="TDC2"/>
            <w:tabs>
              <w:tab w:val="right" w:pos="9629"/>
            </w:tabs>
            <w:rPr>
              <w:rFonts w:asciiTheme="minorHAnsi" w:eastAsiaTheme="minorEastAsia" w:hAnsiTheme="minorHAnsi" w:cstheme="minorBidi"/>
              <w:noProof/>
              <w:sz w:val="20"/>
              <w:szCs w:val="22"/>
              <w:lang w:val="es-ES"/>
            </w:rPr>
          </w:pPr>
          <w:hyperlink w:anchor="_Toc21530830" w:history="1">
            <w:r w:rsidR="002A705D" w:rsidRPr="008134F5">
              <w:rPr>
                <w:rStyle w:val="Hipervnculo"/>
                <w:noProof/>
                <w:sz w:val="22"/>
                <w:highlight w:val="white"/>
              </w:rPr>
              <w:t>II. a. Sistema Nacional de Vigilancia de la Salud</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_Toc21530830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10</w:t>
            </w:r>
            <w:r w:rsidR="002A705D" w:rsidRPr="008134F5">
              <w:rPr>
                <w:noProof/>
                <w:webHidden/>
                <w:sz w:val="22"/>
              </w:rPr>
              <w:fldChar w:fldCharType="end"/>
            </w:r>
          </w:hyperlink>
        </w:p>
        <w:p w14:paraId="0F003965" w14:textId="7CBA461D" w:rsidR="002A705D" w:rsidRPr="008134F5" w:rsidRDefault="00942DA1">
          <w:pPr>
            <w:pStyle w:val="TDC2"/>
            <w:tabs>
              <w:tab w:val="right" w:pos="9629"/>
            </w:tabs>
            <w:rPr>
              <w:rFonts w:asciiTheme="minorHAnsi" w:eastAsiaTheme="minorEastAsia" w:hAnsiTheme="minorHAnsi" w:cstheme="minorBidi"/>
              <w:noProof/>
              <w:sz w:val="20"/>
              <w:szCs w:val="22"/>
              <w:lang w:val="es-ES"/>
            </w:rPr>
          </w:pPr>
          <w:hyperlink w:anchor="_Toc21530831" w:history="1">
            <w:r w:rsidR="002A705D" w:rsidRPr="008134F5">
              <w:rPr>
                <w:rStyle w:val="Hipervnculo"/>
                <w:noProof/>
                <w:sz w:val="22"/>
              </w:rPr>
              <w:t>II. b. Red Nacional de Anomalías Congénitas (RENAC)</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_Toc21530831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19</w:t>
            </w:r>
            <w:r w:rsidR="002A705D" w:rsidRPr="008134F5">
              <w:rPr>
                <w:noProof/>
                <w:webHidden/>
                <w:sz w:val="22"/>
              </w:rPr>
              <w:fldChar w:fldCharType="end"/>
            </w:r>
          </w:hyperlink>
        </w:p>
        <w:p w14:paraId="16A69297" w14:textId="02E1981B" w:rsidR="002A705D" w:rsidRPr="008134F5" w:rsidRDefault="00942DA1">
          <w:pPr>
            <w:pStyle w:val="TDC2"/>
            <w:tabs>
              <w:tab w:val="right" w:pos="9629"/>
            </w:tabs>
            <w:rPr>
              <w:rFonts w:asciiTheme="minorHAnsi" w:eastAsiaTheme="minorEastAsia" w:hAnsiTheme="minorHAnsi" w:cstheme="minorBidi"/>
              <w:noProof/>
              <w:sz w:val="20"/>
              <w:szCs w:val="22"/>
              <w:lang w:val="es-ES"/>
            </w:rPr>
          </w:pPr>
          <w:hyperlink w:anchor="_Toc21530832" w:history="1">
            <w:r w:rsidR="002A705D" w:rsidRPr="008134F5">
              <w:rPr>
                <w:rStyle w:val="Hipervnculo"/>
                <w:noProof/>
                <w:sz w:val="22"/>
              </w:rPr>
              <w:t>II. c. Instituto Nacional del Cáncer</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_Toc21530832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20</w:t>
            </w:r>
            <w:r w:rsidR="002A705D" w:rsidRPr="008134F5">
              <w:rPr>
                <w:noProof/>
                <w:webHidden/>
                <w:sz w:val="22"/>
              </w:rPr>
              <w:fldChar w:fldCharType="end"/>
            </w:r>
          </w:hyperlink>
        </w:p>
        <w:p w14:paraId="0F52557E" w14:textId="29432348" w:rsidR="002A705D" w:rsidRPr="008134F5" w:rsidRDefault="00942DA1">
          <w:pPr>
            <w:pStyle w:val="TDC2"/>
            <w:tabs>
              <w:tab w:val="right" w:pos="9629"/>
            </w:tabs>
            <w:rPr>
              <w:rFonts w:asciiTheme="minorHAnsi" w:eastAsiaTheme="minorEastAsia" w:hAnsiTheme="minorHAnsi" w:cstheme="minorBidi"/>
              <w:noProof/>
              <w:sz w:val="20"/>
              <w:szCs w:val="22"/>
              <w:lang w:val="es-ES"/>
            </w:rPr>
          </w:pPr>
          <w:hyperlink w:anchor="_Toc21530833" w:history="1">
            <w:r w:rsidR="002A705D" w:rsidRPr="008134F5">
              <w:rPr>
                <w:rStyle w:val="Hipervnculo"/>
                <w:noProof/>
                <w:sz w:val="22"/>
              </w:rPr>
              <w:t>II. d. Estadísticas Vitales de la Dirección de Estadísticas e Información en Salud</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_Toc21530833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20</w:t>
            </w:r>
            <w:r w:rsidR="002A705D" w:rsidRPr="008134F5">
              <w:rPr>
                <w:noProof/>
                <w:webHidden/>
                <w:sz w:val="22"/>
              </w:rPr>
              <w:fldChar w:fldCharType="end"/>
            </w:r>
          </w:hyperlink>
        </w:p>
        <w:p w14:paraId="64A683CF" w14:textId="244FE2BD"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34" w:history="1">
            <w:r w:rsidR="002A705D" w:rsidRPr="008134F5">
              <w:rPr>
                <w:rStyle w:val="Hipervnculo"/>
                <w:noProof/>
                <w:sz w:val="22"/>
              </w:rPr>
              <w:t xml:space="preserve">III. </w:t>
            </w:r>
            <w:r w:rsidR="002A705D" w:rsidRPr="008134F5">
              <w:rPr>
                <w:rStyle w:val="Hipervnculo"/>
                <w:noProof/>
                <w:sz w:val="22"/>
                <w:highlight w:val="white"/>
              </w:rPr>
              <w:t>Análisis de Información disponible a partir de fuentes primarias:</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_Toc21530834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21</w:t>
            </w:r>
            <w:r w:rsidR="002A705D" w:rsidRPr="008134F5">
              <w:rPr>
                <w:noProof/>
                <w:webHidden/>
                <w:sz w:val="22"/>
              </w:rPr>
              <w:fldChar w:fldCharType="end"/>
            </w:r>
          </w:hyperlink>
        </w:p>
        <w:p w14:paraId="631B8F83" w14:textId="2F55FD98"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35" w:history="1">
            <w:r w:rsidR="002A705D" w:rsidRPr="008134F5">
              <w:rPr>
                <w:rStyle w:val="Hipervnculo"/>
                <w:noProof/>
                <w:sz w:val="22"/>
              </w:rPr>
              <w:t>Evaluaciones Integrales en Salud Ambiental en Áreas de Riesgo</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_Toc21530835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21</w:t>
            </w:r>
            <w:r w:rsidR="002A705D" w:rsidRPr="008134F5">
              <w:rPr>
                <w:noProof/>
                <w:webHidden/>
                <w:sz w:val="22"/>
              </w:rPr>
              <w:fldChar w:fldCharType="end"/>
            </w:r>
          </w:hyperlink>
        </w:p>
        <w:p w14:paraId="335D8356" w14:textId="236BF7C4"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36" w:history="1">
            <w:r w:rsidR="002A705D" w:rsidRPr="008134F5">
              <w:rPr>
                <w:rStyle w:val="Hipervnculo"/>
                <w:noProof/>
                <w:sz w:val="22"/>
              </w:rPr>
              <w:t>IV. Conclusiones:</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_Toc21530836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33</w:t>
            </w:r>
            <w:r w:rsidR="002A705D" w:rsidRPr="008134F5">
              <w:rPr>
                <w:noProof/>
                <w:webHidden/>
                <w:sz w:val="22"/>
              </w:rPr>
              <w:fldChar w:fldCharType="end"/>
            </w:r>
          </w:hyperlink>
        </w:p>
        <w:p w14:paraId="25843F8E" w14:textId="20253E16" w:rsidR="002A705D" w:rsidRPr="008134F5" w:rsidRDefault="00942DA1">
          <w:pPr>
            <w:pStyle w:val="TDC1"/>
            <w:tabs>
              <w:tab w:val="right" w:pos="9629"/>
            </w:tabs>
            <w:rPr>
              <w:rFonts w:asciiTheme="minorHAnsi" w:eastAsiaTheme="minorEastAsia" w:hAnsiTheme="minorHAnsi" w:cstheme="minorBidi"/>
              <w:noProof/>
              <w:sz w:val="20"/>
              <w:szCs w:val="22"/>
              <w:lang w:val="es-ES"/>
            </w:rPr>
          </w:pPr>
          <w:hyperlink w:anchor="_Toc21530837" w:history="1">
            <w:r w:rsidR="002A705D" w:rsidRPr="008134F5">
              <w:rPr>
                <w:rStyle w:val="Hipervnculo"/>
                <w:noProof/>
                <w:sz w:val="22"/>
              </w:rPr>
              <w:t>V. Abreviaturas</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_Toc21530837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35</w:t>
            </w:r>
            <w:r w:rsidR="002A705D" w:rsidRPr="008134F5">
              <w:rPr>
                <w:noProof/>
                <w:webHidden/>
                <w:sz w:val="22"/>
              </w:rPr>
              <w:fldChar w:fldCharType="end"/>
            </w:r>
          </w:hyperlink>
        </w:p>
        <w:p w14:paraId="3549B9AD" w14:textId="792B598A" w:rsidR="00900D5B" w:rsidRPr="008134F5" w:rsidRDefault="00942DA1" w:rsidP="00D01016">
          <w:pPr>
            <w:pStyle w:val="TDC1"/>
            <w:tabs>
              <w:tab w:val="right" w:pos="9629"/>
            </w:tabs>
            <w:rPr>
              <w:rFonts w:asciiTheme="minorHAnsi" w:eastAsiaTheme="minorEastAsia" w:hAnsiTheme="minorHAnsi" w:cstheme="minorBidi"/>
              <w:noProof/>
              <w:sz w:val="20"/>
              <w:szCs w:val="22"/>
              <w:lang w:val="es-ES"/>
            </w:rPr>
          </w:pPr>
          <w:hyperlink w:anchor="_Toc21530838" w:history="1">
            <w:r w:rsidR="002A705D" w:rsidRPr="008134F5">
              <w:rPr>
                <w:rStyle w:val="Hipervnculo"/>
                <w:noProof/>
                <w:sz w:val="22"/>
              </w:rPr>
              <w:t>VI.  Fuentes consultadas</w:t>
            </w:r>
            <w:r w:rsidR="002A705D" w:rsidRPr="008134F5">
              <w:rPr>
                <w:noProof/>
                <w:webHidden/>
                <w:sz w:val="22"/>
              </w:rPr>
              <w:tab/>
            </w:r>
            <w:r w:rsidR="002A705D" w:rsidRPr="008134F5">
              <w:rPr>
                <w:noProof/>
                <w:webHidden/>
                <w:sz w:val="22"/>
              </w:rPr>
              <w:fldChar w:fldCharType="begin"/>
            </w:r>
            <w:r w:rsidR="002A705D" w:rsidRPr="008134F5">
              <w:rPr>
                <w:noProof/>
                <w:webHidden/>
                <w:sz w:val="22"/>
              </w:rPr>
              <w:instrText xml:space="preserve"> PAGEREF _Toc21530838 \h </w:instrText>
            </w:r>
            <w:r w:rsidR="002A705D" w:rsidRPr="008134F5">
              <w:rPr>
                <w:noProof/>
                <w:webHidden/>
                <w:sz w:val="22"/>
              </w:rPr>
            </w:r>
            <w:r w:rsidR="002A705D" w:rsidRPr="008134F5">
              <w:rPr>
                <w:noProof/>
                <w:webHidden/>
                <w:sz w:val="22"/>
              </w:rPr>
              <w:fldChar w:fldCharType="separate"/>
            </w:r>
            <w:r w:rsidR="008134F5" w:rsidRPr="008134F5">
              <w:rPr>
                <w:noProof/>
                <w:webHidden/>
                <w:sz w:val="22"/>
              </w:rPr>
              <w:t>36</w:t>
            </w:r>
            <w:r w:rsidR="002A705D" w:rsidRPr="008134F5">
              <w:rPr>
                <w:noProof/>
                <w:webHidden/>
                <w:sz w:val="22"/>
              </w:rPr>
              <w:fldChar w:fldCharType="end"/>
            </w:r>
          </w:hyperlink>
          <w:r w:rsidR="00C70F0F" w:rsidRPr="008134F5">
            <w:rPr>
              <w:sz w:val="22"/>
            </w:rPr>
            <w:fldChar w:fldCharType="end"/>
          </w:r>
        </w:p>
      </w:sdtContent>
    </w:sdt>
    <w:p w14:paraId="6864E92D" w14:textId="77777777" w:rsidR="00900D5B" w:rsidRDefault="00900D5B"/>
    <w:p w14:paraId="0252608F" w14:textId="77777777" w:rsidR="00900D5B" w:rsidRDefault="00C70F0F">
      <w:r>
        <w:br w:type="page"/>
      </w:r>
    </w:p>
    <w:p w14:paraId="2D4EEF12" w14:textId="77777777" w:rsidR="00900D5B" w:rsidRPr="006A78F3" w:rsidRDefault="00C70F0F" w:rsidP="00F34663">
      <w:pPr>
        <w:pStyle w:val="Ttulo1"/>
        <w:rPr>
          <w:sz w:val="22"/>
        </w:rPr>
      </w:pPr>
      <w:bookmarkStart w:id="0" w:name="_Toc21530827"/>
      <w:r w:rsidRPr="006A78F3">
        <w:rPr>
          <w:sz w:val="22"/>
        </w:rPr>
        <w:lastRenderedPageBreak/>
        <w:t>Resumen ejecutivo</w:t>
      </w:r>
      <w:bookmarkEnd w:id="0"/>
    </w:p>
    <w:p w14:paraId="135396E1" w14:textId="77777777" w:rsidR="005E55AE" w:rsidRDefault="005E55AE" w:rsidP="004702E8"/>
    <w:p w14:paraId="6F792B85" w14:textId="77777777" w:rsidR="004702E8" w:rsidRPr="006A78F3" w:rsidRDefault="004702E8" w:rsidP="004702E8">
      <w:pPr>
        <w:rPr>
          <w:sz w:val="22"/>
        </w:rPr>
      </w:pPr>
      <w:r w:rsidRPr="006A78F3">
        <w:rPr>
          <w:sz w:val="22"/>
        </w:rPr>
        <w:t xml:space="preserve">La Dirección de Salud y Educación Ambiental (DSyEA) de ACUMAR tiene como uno de sus ejes de trabajo prioritarios la efectiva Vigilancia Epidemiológica Ambiental en la Cuenca Matanza Riachuelo (CMR). En tal sentido participa activamente del proceso que lidera el Ministerio de Salud y Desarrollo Social, quién gestiona y administra el Sistema Nacional de Vigilancia de Salud (SNVS), y analiza la información sobre estadísticas vitales (nacimientos y defunciones) de la Dirección de Estadísticas e Información de Salud – DEIS – del Ministerio de Salud y Desarrollo Social, de anomalías congénitas (RENAC- Red Nacional de Anomalías Congénitas – del Ministerio de Salud y Desarrollo Social), de tumores (Instituto Nacional del Cáncer), también dependiente del Ministerio de Salud y Desarrollo Social. </w:t>
      </w:r>
    </w:p>
    <w:p w14:paraId="168790BE" w14:textId="45146A0E" w:rsidR="004702E8" w:rsidRPr="006A78F3" w:rsidRDefault="00E04015" w:rsidP="004702E8">
      <w:pPr>
        <w:rPr>
          <w:sz w:val="22"/>
        </w:rPr>
      </w:pPr>
      <w:r w:rsidRPr="006A78F3">
        <w:rPr>
          <w:sz w:val="22"/>
        </w:rPr>
        <w:t>Para</w:t>
      </w:r>
      <w:r w:rsidR="004702E8" w:rsidRPr="006A78F3">
        <w:rPr>
          <w:sz w:val="22"/>
        </w:rPr>
        <w:t xml:space="preserve"> disponer de información a nivel de las Urbanizaciones Emergentes de la Cuenca Matanza Riachuelo (CMR), la DSyEA de ACUMAR lleva adelante las Evaluaciones Integrales de Salud Ambiental en Áreas de Riesgo (EISAAR).</w:t>
      </w:r>
    </w:p>
    <w:p w14:paraId="69C89393" w14:textId="77777777" w:rsidR="004702E8" w:rsidRPr="006A78F3" w:rsidRDefault="004702E8" w:rsidP="004702E8">
      <w:pPr>
        <w:ind w:firstLine="420"/>
        <w:rPr>
          <w:sz w:val="22"/>
        </w:rPr>
      </w:pPr>
    </w:p>
    <w:p w14:paraId="15B2D4B0" w14:textId="521A851E" w:rsidR="0032466A" w:rsidRPr="006A78F3" w:rsidRDefault="0032466A" w:rsidP="004702E8">
      <w:pPr>
        <w:ind w:firstLine="420"/>
        <w:rPr>
          <w:sz w:val="22"/>
        </w:rPr>
      </w:pPr>
      <w:r w:rsidRPr="006A78F3">
        <w:rPr>
          <w:sz w:val="22"/>
        </w:rPr>
        <w:t xml:space="preserve">A </w:t>
      </w:r>
      <w:r w:rsidR="006A78F3" w:rsidRPr="006A78F3">
        <w:rPr>
          <w:sz w:val="22"/>
        </w:rPr>
        <w:t>continuación,</w:t>
      </w:r>
      <w:r w:rsidRPr="006A78F3">
        <w:rPr>
          <w:sz w:val="22"/>
        </w:rPr>
        <w:t xml:space="preserve"> se presentan los principales resultados del informe elaborado en esta oportunidad:</w:t>
      </w:r>
    </w:p>
    <w:p w14:paraId="0185C9C1" w14:textId="77777777" w:rsidR="0032466A" w:rsidRPr="005E55AE" w:rsidRDefault="0032466A" w:rsidP="004702E8">
      <w:pPr>
        <w:ind w:firstLine="420"/>
      </w:pPr>
    </w:p>
    <w:p w14:paraId="4ED26457" w14:textId="08961A90" w:rsidR="004702E8" w:rsidRPr="006A78F3" w:rsidRDefault="004702E8" w:rsidP="006A78F3">
      <w:pPr>
        <w:ind w:firstLine="420"/>
        <w:rPr>
          <w:sz w:val="22"/>
        </w:rPr>
      </w:pPr>
      <w:r w:rsidRPr="006A78F3">
        <w:rPr>
          <w:sz w:val="22"/>
        </w:rPr>
        <w:t xml:space="preserve">El análisis de los eventos relacionados con la exposición ambiental de notificación obligatoria a partir del SNVS entre las semanas epidemiológicas 23 (2 de junio de 2019) a 35 (31 de agosto de 2019) evidenció que: </w:t>
      </w:r>
    </w:p>
    <w:p w14:paraId="1DAC288E" w14:textId="2EEC733C" w:rsidR="004702E8" w:rsidRPr="006A78F3" w:rsidRDefault="004702E8" w:rsidP="006A78F3">
      <w:pPr>
        <w:ind w:firstLine="720"/>
        <w:rPr>
          <w:sz w:val="22"/>
        </w:rPr>
      </w:pPr>
      <w:r w:rsidRPr="006A78F3">
        <w:rPr>
          <w:sz w:val="22"/>
        </w:rPr>
        <w:t xml:space="preserve">En la notificación de enfermedades </w:t>
      </w:r>
      <w:proofErr w:type="spellStart"/>
      <w:r w:rsidRPr="006A78F3">
        <w:rPr>
          <w:sz w:val="22"/>
        </w:rPr>
        <w:t>gastroentéricas</w:t>
      </w:r>
      <w:proofErr w:type="spellEnd"/>
      <w:r w:rsidRPr="006A78F3">
        <w:rPr>
          <w:sz w:val="22"/>
        </w:rPr>
        <w:t xml:space="preserve"> (diarreas) se observaron diferencias importantes en la tasa de notificación entre los distintos municipios de la CMR con valores entre 0 y 27,28 c/10.000 habitantes.</w:t>
      </w:r>
      <w:r w:rsidR="0032466A" w:rsidRPr="006A78F3">
        <w:rPr>
          <w:sz w:val="22"/>
        </w:rPr>
        <w:t xml:space="preserve"> </w:t>
      </w:r>
      <w:r w:rsidRPr="006A78F3">
        <w:rPr>
          <w:sz w:val="22"/>
        </w:rPr>
        <w:t xml:space="preserve">Los municipios con mayores tasas fueron San Vicente (27,28 c/10.000 hab.), la comuna 7 de CABA (26,09 c/10.000) y Ezeiza (25,76 c/10.000 hab.). </w:t>
      </w:r>
    </w:p>
    <w:p w14:paraId="709C90D9" w14:textId="087C00EB" w:rsidR="004702E8" w:rsidRPr="006A78F3" w:rsidRDefault="004702E8" w:rsidP="006A78F3">
      <w:pPr>
        <w:rPr>
          <w:sz w:val="22"/>
        </w:rPr>
      </w:pPr>
      <w:r w:rsidRPr="006A78F3">
        <w:rPr>
          <w:sz w:val="22"/>
        </w:rPr>
        <w:t xml:space="preserve">La tasa de notificación de diarreas de la CMR fue de 8,78 c/10.000 habitantes, inferior a la tasa de notificación de CABA (11,94 c/10.000), la tasa de </w:t>
      </w:r>
      <w:r w:rsidR="0032466A" w:rsidRPr="006A78F3">
        <w:rPr>
          <w:sz w:val="22"/>
        </w:rPr>
        <w:t>P</w:t>
      </w:r>
      <w:r w:rsidRPr="006A78F3">
        <w:rPr>
          <w:sz w:val="22"/>
        </w:rPr>
        <w:t>rov</w:t>
      </w:r>
      <w:r w:rsidR="0032466A" w:rsidRPr="006A78F3">
        <w:rPr>
          <w:sz w:val="22"/>
        </w:rPr>
        <w:t>incia</w:t>
      </w:r>
      <w:r w:rsidRPr="006A78F3">
        <w:rPr>
          <w:sz w:val="22"/>
        </w:rPr>
        <w:t xml:space="preserve"> Buenos Aires </w:t>
      </w:r>
      <w:r w:rsidR="0032466A" w:rsidRPr="006A78F3">
        <w:rPr>
          <w:sz w:val="22"/>
        </w:rPr>
        <w:t xml:space="preserve">(PBA) </w:t>
      </w:r>
      <w:r w:rsidRPr="006A78F3">
        <w:rPr>
          <w:sz w:val="22"/>
        </w:rPr>
        <w:t>(14,35 c/10.000 hab.) y de la tasa del total país que fue de 32,47 c/10.000.</w:t>
      </w:r>
    </w:p>
    <w:p w14:paraId="416DB6B0" w14:textId="77777777" w:rsidR="004702E8" w:rsidRPr="006A78F3" w:rsidRDefault="004702E8" w:rsidP="006A78F3">
      <w:pPr>
        <w:spacing w:line="276" w:lineRule="auto"/>
        <w:ind w:left="420" w:firstLine="0"/>
        <w:rPr>
          <w:sz w:val="22"/>
        </w:rPr>
      </w:pPr>
    </w:p>
    <w:p w14:paraId="29066078" w14:textId="750E00AB" w:rsidR="004702E8" w:rsidRPr="006A78F3" w:rsidRDefault="004702E8" w:rsidP="006A78F3">
      <w:pPr>
        <w:rPr>
          <w:sz w:val="22"/>
        </w:rPr>
      </w:pPr>
      <w:r w:rsidRPr="006A78F3">
        <w:rPr>
          <w:sz w:val="22"/>
        </w:rPr>
        <w:t>Analizando la notificación de Enfermedad Tipo Influenza (ETI), la tasa de notificación de la CMR (28,77 c/10.000 hab.) fue similar a la tasa de CABA (28,89 c/10.000 hab.), pero inferior a la de</w:t>
      </w:r>
      <w:r w:rsidR="0032466A" w:rsidRPr="006A78F3">
        <w:rPr>
          <w:sz w:val="22"/>
        </w:rPr>
        <w:t xml:space="preserve"> PBA</w:t>
      </w:r>
      <w:r w:rsidRPr="006A78F3">
        <w:rPr>
          <w:sz w:val="22"/>
        </w:rPr>
        <w:t xml:space="preserve"> (38,45 c/10.000 hab.) y a la de total país (66,55 c/10.000 hab.). Las </w:t>
      </w:r>
      <w:r w:rsidRPr="006A78F3">
        <w:rPr>
          <w:sz w:val="22"/>
        </w:rPr>
        <w:lastRenderedPageBreak/>
        <w:t xml:space="preserve">jurisdicciones de la CMR con tasas más elevadas fueron Gral. Las Heras (371,90 c/10.000 hab.) y la comuna 7 de CABA (120,17 c/10.000 hab.). </w:t>
      </w:r>
    </w:p>
    <w:p w14:paraId="74AFAFF6" w14:textId="30FD1F29" w:rsidR="004702E8" w:rsidRPr="006A78F3" w:rsidRDefault="004702E8" w:rsidP="006A78F3">
      <w:pPr>
        <w:ind w:firstLine="720"/>
        <w:rPr>
          <w:sz w:val="22"/>
        </w:rPr>
      </w:pPr>
      <w:r w:rsidRPr="006A78F3">
        <w:rPr>
          <w:sz w:val="22"/>
        </w:rPr>
        <w:t xml:space="preserve">Con respecto a la notificación de Bronquiolitis en menores de 2 años, la tasa de la CMR fue de 586,60 c/10.000 hab.&lt; 2 años, superior a la tasa de CABA (486,01 c/10.000 hab.&lt; 2 años), pero inferior a la de </w:t>
      </w:r>
      <w:r w:rsidR="0032466A" w:rsidRPr="006A78F3">
        <w:rPr>
          <w:sz w:val="22"/>
        </w:rPr>
        <w:t>PBA</w:t>
      </w:r>
      <w:r w:rsidRPr="006A78F3">
        <w:rPr>
          <w:sz w:val="22"/>
        </w:rPr>
        <w:t xml:space="preserve"> (637,52 c/10.000 hab.&lt; 2 años) y del total país (739,52 c/10.000 hab.&lt; 2 años). Las jurisdicciones de la CMR con mayores tasas de notificación fueron la Comuna 7 (3138,69 c/10.000 hab.&lt; 2 años) y Ezeiza (1429,64 c/10.000 hab.&lt; 2 años). </w:t>
      </w:r>
    </w:p>
    <w:p w14:paraId="12FE5E71" w14:textId="498A6D58" w:rsidR="004702E8" w:rsidRPr="006A78F3" w:rsidRDefault="004702E8" w:rsidP="006A78F3">
      <w:pPr>
        <w:ind w:firstLine="720"/>
        <w:rPr>
          <w:sz w:val="22"/>
        </w:rPr>
      </w:pPr>
      <w:r w:rsidRPr="006A78F3">
        <w:rPr>
          <w:sz w:val="22"/>
        </w:rPr>
        <w:t>Con respecto a las infecciones respiratorias agudas graves</w:t>
      </w:r>
      <w:r w:rsidR="0032466A" w:rsidRPr="006A78F3">
        <w:rPr>
          <w:sz w:val="22"/>
        </w:rPr>
        <w:t xml:space="preserve">, </w:t>
      </w:r>
      <w:r w:rsidRPr="006A78F3">
        <w:rPr>
          <w:sz w:val="22"/>
        </w:rPr>
        <w:t xml:space="preserve">Morón registró la tasa más elevada (36,44 c/10.000 hab.), superando ampliamente la tasa de la CMR en su conjunto de 4,31 c/10.000 hab. </w:t>
      </w:r>
      <w:r w:rsidR="0032466A" w:rsidRPr="006A78F3">
        <w:rPr>
          <w:sz w:val="22"/>
        </w:rPr>
        <w:t>La</w:t>
      </w:r>
      <w:r w:rsidRPr="006A78F3">
        <w:rPr>
          <w:sz w:val="22"/>
        </w:rPr>
        <w:t xml:space="preserve"> tasa de la CMR fue superior a la tasa de CABA (3,38 c/10.000 hab.) y de </w:t>
      </w:r>
      <w:r w:rsidR="0032466A" w:rsidRPr="006A78F3">
        <w:rPr>
          <w:sz w:val="22"/>
        </w:rPr>
        <w:t>PBA</w:t>
      </w:r>
      <w:r w:rsidRPr="006A78F3">
        <w:rPr>
          <w:sz w:val="22"/>
        </w:rPr>
        <w:t xml:space="preserve"> (3,71 c/10.000 hab.), siendo todas inferiores a la tasa de notificación del total país (7,12 c/10.000 hab.). </w:t>
      </w:r>
    </w:p>
    <w:p w14:paraId="31177FD7" w14:textId="2CB642DA" w:rsidR="004702E8" w:rsidRPr="006A78F3" w:rsidRDefault="004702E8" w:rsidP="006A78F3">
      <w:pPr>
        <w:rPr>
          <w:sz w:val="22"/>
        </w:rPr>
      </w:pPr>
      <w:r w:rsidRPr="006A78F3">
        <w:rPr>
          <w:sz w:val="22"/>
        </w:rPr>
        <w:t xml:space="preserve">Con referencia a la notificación de Neumonía, la tasa de la CMR en el periodo de estudio fue de 6,32 c/10.000 hab., inferior a la tasa del total país (13,02 c/10.000 hab.), a la de CABA (7,62 c/10.000 hab.) y a la tasa de la </w:t>
      </w:r>
      <w:r w:rsidR="0032466A" w:rsidRPr="006A78F3">
        <w:rPr>
          <w:sz w:val="22"/>
        </w:rPr>
        <w:t>PBA</w:t>
      </w:r>
      <w:r w:rsidRPr="006A78F3">
        <w:rPr>
          <w:sz w:val="22"/>
        </w:rPr>
        <w:t xml:space="preserve"> (7,87 c/10.000 hab.). Las jurisdicciones de la CMR que registraron las tasas más elevadas para neumonía en el periodo de estudio fueron San Vicente (47,94 c/10.000 hab.) y Gral. Las Heras (23,86 c/ 10.000 hab.) </w:t>
      </w:r>
    </w:p>
    <w:p w14:paraId="4BD9ACCC" w14:textId="6EAABDC3" w:rsidR="004702E8" w:rsidRPr="006A78F3" w:rsidRDefault="004702E8" w:rsidP="006A78F3">
      <w:pPr>
        <w:ind w:firstLine="0"/>
        <w:rPr>
          <w:sz w:val="22"/>
        </w:rPr>
      </w:pPr>
      <w:r w:rsidRPr="006A78F3">
        <w:rPr>
          <w:sz w:val="22"/>
        </w:rPr>
        <w:t xml:space="preserve">   En la notificación de accidentes viales, ninguna de las Comunas de CABA registraron eventos, pero sí lo hicieron 13 de los 14 municipios de la </w:t>
      </w:r>
      <w:r w:rsidR="0032466A" w:rsidRPr="006A78F3">
        <w:rPr>
          <w:sz w:val="22"/>
        </w:rPr>
        <w:t>PBA</w:t>
      </w:r>
      <w:r w:rsidRPr="006A78F3">
        <w:rPr>
          <w:sz w:val="22"/>
        </w:rPr>
        <w:t xml:space="preserve"> que integran La CMR.</w:t>
      </w:r>
      <w:r w:rsidR="0032466A" w:rsidRPr="006A78F3">
        <w:rPr>
          <w:sz w:val="22"/>
        </w:rPr>
        <w:t xml:space="preserve"> </w:t>
      </w:r>
      <w:r w:rsidRPr="006A78F3">
        <w:rPr>
          <w:sz w:val="22"/>
        </w:rPr>
        <w:t xml:space="preserve">La tasa de notificación de accidentes viales de la CMR fue de 2,27 c/10.000 hab., inferior a la tasa de </w:t>
      </w:r>
      <w:r w:rsidR="0032466A" w:rsidRPr="006A78F3">
        <w:rPr>
          <w:sz w:val="22"/>
        </w:rPr>
        <w:t>PBA</w:t>
      </w:r>
      <w:r w:rsidRPr="006A78F3">
        <w:rPr>
          <w:sz w:val="22"/>
        </w:rPr>
        <w:t xml:space="preserve"> (3,94 c/10.000 hab.) y del total país (7,03 c/10.000 hab.). Los municipios de la CMR con las tasas de notificación más elevadas fueron Gral. Las Heras con 16,88 c/ 10.000 </w:t>
      </w:r>
      <w:proofErr w:type="spellStart"/>
      <w:r w:rsidRPr="006A78F3">
        <w:rPr>
          <w:sz w:val="22"/>
        </w:rPr>
        <w:t>hab</w:t>
      </w:r>
      <w:proofErr w:type="spellEnd"/>
      <w:r w:rsidRPr="006A78F3">
        <w:rPr>
          <w:sz w:val="22"/>
        </w:rPr>
        <w:t xml:space="preserve"> y San Vicente con (15,63 c/10.000 hab.). </w:t>
      </w:r>
    </w:p>
    <w:p w14:paraId="78C6FC53" w14:textId="77777777" w:rsidR="004702E8" w:rsidRPr="006A78F3" w:rsidRDefault="004702E8" w:rsidP="006A78F3">
      <w:pPr>
        <w:rPr>
          <w:sz w:val="16"/>
          <w:szCs w:val="18"/>
        </w:rPr>
      </w:pPr>
    </w:p>
    <w:p w14:paraId="04CB03C7" w14:textId="41F12432" w:rsidR="004702E8" w:rsidRPr="006A78F3" w:rsidRDefault="004702E8" w:rsidP="006A78F3">
      <w:pPr>
        <w:rPr>
          <w:sz w:val="22"/>
        </w:rPr>
      </w:pPr>
      <w:r w:rsidRPr="006A78F3">
        <w:rPr>
          <w:sz w:val="22"/>
        </w:rPr>
        <w:t xml:space="preserve">El análisis del relevamiento de Viviendas, hogares y personas de las EISAAR correspondiente al período enero-octubre del año 2019 incluye 36 </w:t>
      </w:r>
      <w:proofErr w:type="spellStart"/>
      <w:r w:rsidRPr="006A78F3">
        <w:rPr>
          <w:sz w:val="22"/>
        </w:rPr>
        <w:t>UREMs</w:t>
      </w:r>
      <w:proofErr w:type="spellEnd"/>
      <w:r w:rsidRPr="006A78F3">
        <w:rPr>
          <w:sz w:val="22"/>
        </w:rPr>
        <w:t xml:space="preserve"> relevadas con un total de 17.146 personas, 3.925 viviendas y 5.273 hogares. </w:t>
      </w:r>
    </w:p>
    <w:p w14:paraId="7B5C9413" w14:textId="3B00E23A" w:rsidR="004702E8" w:rsidRPr="006A78F3" w:rsidRDefault="004702E8" w:rsidP="006A78F3">
      <w:pPr>
        <w:rPr>
          <w:color w:val="000000"/>
          <w:sz w:val="22"/>
        </w:rPr>
      </w:pPr>
      <w:r w:rsidRPr="006A78F3">
        <w:rPr>
          <w:color w:val="000000"/>
          <w:sz w:val="22"/>
        </w:rPr>
        <w:t xml:space="preserve">Se </w:t>
      </w:r>
      <w:r w:rsidR="0032466A" w:rsidRPr="006A78F3">
        <w:rPr>
          <w:color w:val="000000"/>
          <w:sz w:val="22"/>
        </w:rPr>
        <w:t xml:space="preserve">relevaron </w:t>
      </w:r>
      <w:r w:rsidRPr="006A78F3">
        <w:rPr>
          <w:color w:val="000000"/>
          <w:sz w:val="22"/>
        </w:rPr>
        <w:t xml:space="preserve">pérdidas de embarazos </w:t>
      </w:r>
      <w:r w:rsidR="0032466A" w:rsidRPr="006A78F3">
        <w:rPr>
          <w:color w:val="000000"/>
          <w:sz w:val="22"/>
        </w:rPr>
        <w:t xml:space="preserve">en </w:t>
      </w:r>
      <w:r w:rsidRPr="006A78F3">
        <w:rPr>
          <w:sz w:val="22"/>
        </w:rPr>
        <w:t>7,5</w:t>
      </w:r>
      <w:r w:rsidRPr="006A78F3">
        <w:rPr>
          <w:color w:val="000000"/>
          <w:sz w:val="22"/>
        </w:rPr>
        <w:t>% de los hogares, nacimiento</w:t>
      </w:r>
      <w:r w:rsidR="0032466A" w:rsidRPr="006A78F3">
        <w:rPr>
          <w:color w:val="000000"/>
          <w:sz w:val="22"/>
        </w:rPr>
        <w:t>s</w:t>
      </w:r>
      <w:r w:rsidRPr="006A78F3">
        <w:rPr>
          <w:color w:val="000000"/>
          <w:sz w:val="22"/>
        </w:rPr>
        <w:t xml:space="preserve"> de recién nacidos pre-término en </w:t>
      </w:r>
      <w:r w:rsidRPr="006A78F3">
        <w:rPr>
          <w:sz w:val="22"/>
        </w:rPr>
        <w:t>5,2</w:t>
      </w:r>
      <w:r w:rsidRPr="006A78F3">
        <w:rPr>
          <w:color w:val="000000"/>
          <w:sz w:val="22"/>
        </w:rPr>
        <w:t xml:space="preserve">% de los hogares y de recién nacidos </w:t>
      </w:r>
      <w:r w:rsidR="0032466A" w:rsidRPr="006A78F3">
        <w:rPr>
          <w:color w:val="000000"/>
          <w:sz w:val="22"/>
        </w:rPr>
        <w:t xml:space="preserve">con </w:t>
      </w:r>
      <w:r w:rsidRPr="006A78F3">
        <w:rPr>
          <w:color w:val="000000"/>
          <w:sz w:val="22"/>
        </w:rPr>
        <w:t xml:space="preserve">bajo peso el </w:t>
      </w:r>
      <w:r w:rsidRPr="006A78F3">
        <w:rPr>
          <w:sz w:val="22"/>
        </w:rPr>
        <w:t>3,2</w:t>
      </w:r>
      <w:r w:rsidRPr="006A78F3">
        <w:rPr>
          <w:color w:val="000000"/>
          <w:sz w:val="22"/>
        </w:rPr>
        <w:t>% de los hogares.</w:t>
      </w:r>
    </w:p>
    <w:p w14:paraId="29A9923E" w14:textId="6D4175AD" w:rsidR="004702E8" w:rsidRPr="006A78F3" w:rsidRDefault="0032466A" w:rsidP="006A78F3">
      <w:pPr>
        <w:ind w:firstLine="420"/>
        <w:rPr>
          <w:sz w:val="22"/>
        </w:rPr>
      </w:pPr>
      <w:r w:rsidRPr="006A78F3">
        <w:rPr>
          <w:sz w:val="22"/>
        </w:rPr>
        <w:t>E</w:t>
      </w:r>
      <w:r w:rsidR="004702E8" w:rsidRPr="006A78F3">
        <w:rPr>
          <w:sz w:val="22"/>
        </w:rPr>
        <w:t xml:space="preserve">l 13,4% de las personas mayores de 18 años tenían la presión arterial elevada o hipertensión. </w:t>
      </w:r>
      <w:r w:rsidRPr="006A78F3">
        <w:rPr>
          <w:sz w:val="22"/>
        </w:rPr>
        <w:t xml:space="preserve">En Argentina </w:t>
      </w:r>
      <w:r w:rsidR="004702E8" w:rsidRPr="006A78F3">
        <w:rPr>
          <w:sz w:val="22"/>
        </w:rPr>
        <w:t xml:space="preserve">34,1% refirió tener presión arterial elevado, 34,5% en </w:t>
      </w:r>
      <w:r w:rsidRPr="006A78F3">
        <w:rPr>
          <w:sz w:val="22"/>
        </w:rPr>
        <w:t>PBA</w:t>
      </w:r>
      <w:r w:rsidR="004702E8" w:rsidRPr="006A78F3">
        <w:rPr>
          <w:sz w:val="22"/>
        </w:rPr>
        <w:t xml:space="preserve">. y </w:t>
      </w:r>
      <w:r w:rsidR="004702E8" w:rsidRPr="006A78F3">
        <w:rPr>
          <w:sz w:val="22"/>
        </w:rPr>
        <w:lastRenderedPageBreak/>
        <w:t>28,5% en CABA (</w:t>
      </w:r>
      <w:proofErr w:type="spellStart"/>
      <w:r w:rsidR="004702E8" w:rsidRPr="006A78F3">
        <w:rPr>
          <w:sz w:val="22"/>
        </w:rPr>
        <w:t>MSal</w:t>
      </w:r>
      <w:proofErr w:type="spellEnd"/>
      <w:r w:rsidR="004702E8" w:rsidRPr="006A78F3">
        <w:rPr>
          <w:sz w:val="22"/>
        </w:rPr>
        <w:t>, 2013)</w:t>
      </w:r>
      <w:r w:rsidR="004702E8" w:rsidRPr="006A78F3">
        <w:rPr>
          <w:sz w:val="22"/>
          <w:vertAlign w:val="superscript"/>
        </w:rPr>
        <w:footnoteReference w:id="1"/>
      </w:r>
      <w:r w:rsidR="004702E8" w:rsidRPr="006A78F3">
        <w:rPr>
          <w:sz w:val="22"/>
        </w:rPr>
        <w:t>.</w:t>
      </w:r>
    </w:p>
    <w:p w14:paraId="695C1961" w14:textId="1167C543" w:rsidR="004702E8" w:rsidRPr="006A78F3" w:rsidRDefault="004702E8" w:rsidP="006A78F3">
      <w:pPr>
        <w:ind w:firstLine="420"/>
        <w:rPr>
          <w:b/>
          <w:sz w:val="22"/>
        </w:rPr>
      </w:pPr>
      <w:r w:rsidRPr="006A78F3">
        <w:rPr>
          <w:sz w:val="22"/>
        </w:rPr>
        <w:t>Según lo relevado, el 5,9% de las personas mayores de 18 años tenían “Azúcar elevada” en sangre o diabetes. A nivel nacional la prevalencia fue de 9,8% al igual que en la P</w:t>
      </w:r>
      <w:r w:rsidR="0032466A" w:rsidRPr="006A78F3">
        <w:rPr>
          <w:sz w:val="22"/>
        </w:rPr>
        <w:t>BA</w:t>
      </w:r>
      <w:r w:rsidRPr="006A78F3">
        <w:rPr>
          <w:sz w:val="22"/>
        </w:rPr>
        <w:t>, en la CABA fue de 8,2% (ENFR, 2013).</w:t>
      </w:r>
    </w:p>
    <w:p w14:paraId="0D469BAC" w14:textId="114F5D1B" w:rsidR="004702E8" w:rsidRPr="006A78F3" w:rsidRDefault="004702E8" w:rsidP="006A78F3">
      <w:pPr>
        <w:ind w:firstLine="420"/>
        <w:rPr>
          <w:sz w:val="22"/>
        </w:rPr>
      </w:pPr>
      <w:r w:rsidRPr="006A78F3">
        <w:rPr>
          <w:sz w:val="22"/>
        </w:rPr>
        <w:t xml:space="preserve">En relación a colesterol elevado, se registró un 4,5% en las personas mayores de 18 años; a nivel país dicho valor fue del 29,8%, en </w:t>
      </w:r>
      <w:r w:rsidR="0032466A" w:rsidRPr="006A78F3">
        <w:rPr>
          <w:sz w:val="22"/>
        </w:rPr>
        <w:t>PBA</w:t>
      </w:r>
      <w:r w:rsidRPr="006A78F3">
        <w:rPr>
          <w:sz w:val="22"/>
        </w:rPr>
        <w:t xml:space="preserve"> fue de 30,4%, y en la CABA de 27,9% (ENFR, 2013).</w:t>
      </w:r>
    </w:p>
    <w:p w14:paraId="68CECB81" w14:textId="123A6113" w:rsidR="004702E8" w:rsidRPr="006A78F3" w:rsidRDefault="004702E8" w:rsidP="006A78F3">
      <w:pPr>
        <w:ind w:firstLine="420"/>
        <w:rPr>
          <w:sz w:val="22"/>
        </w:rPr>
      </w:pPr>
      <w:r w:rsidRPr="006A78F3">
        <w:rPr>
          <w:sz w:val="22"/>
        </w:rPr>
        <w:t xml:space="preserve">En el 1,7% de los mayores de 18 años hubo referencia a haber padecido un ataque cardíaco. A nivel nacional se estimó una prevalencia de 3,8%, en </w:t>
      </w:r>
      <w:r w:rsidR="0032466A" w:rsidRPr="006A78F3">
        <w:rPr>
          <w:sz w:val="22"/>
        </w:rPr>
        <w:t>PBA</w:t>
      </w:r>
      <w:r w:rsidRPr="006A78F3">
        <w:rPr>
          <w:sz w:val="22"/>
        </w:rPr>
        <w:t xml:space="preserve"> de 3% y en la CABA de 4,2 % (ENFR, 2013).</w:t>
      </w:r>
    </w:p>
    <w:p w14:paraId="606212A4" w14:textId="6A20B934" w:rsidR="004702E8" w:rsidRPr="006A78F3" w:rsidRDefault="004702E8" w:rsidP="006A78F3">
      <w:pPr>
        <w:ind w:firstLine="420"/>
        <w:rPr>
          <w:sz w:val="22"/>
        </w:rPr>
      </w:pPr>
      <w:r w:rsidRPr="006A78F3">
        <w:rPr>
          <w:sz w:val="22"/>
        </w:rPr>
        <w:t>Los entrevistados refirieron en 1,6% de las personas mayores de 18 años el antecedente de Accidente Cerebro Vascular (ACV); a nivel nacional la prevalencia de ACV fue de 1,9%, en la P</w:t>
      </w:r>
      <w:r w:rsidR="0032466A" w:rsidRPr="006A78F3">
        <w:rPr>
          <w:sz w:val="22"/>
        </w:rPr>
        <w:t>BA</w:t>
      </w:r>
      <w:r w:rsidRPr="006A78F3">
        <w:rPr>
          <w:sz w:val="22"/>
        </w:rPr>
        <w:t xml:space="preserve"> fue 2,1% y en la CABA también</w:t>
      </w:r>
      <w:r w:rsidR="0032466A" w:rsidRPr="006A78F3">
        <w:rPr>
          <w:sz w:val="22"/>
        </w:rPr>
        <w:t xml:space="preserve"> de 2,1%. (ENFR, 2013).</w:t>
      </w:r>
    </w:p>
    <w:p w14:paraId="55D5C811" w14:textId="037258E1" w:rsidR="0032466A" w:rsidRPr="006A78F3" w:rsidRDefault="004702E8" w:rsidP="006A78F3">
      <w:pPr>
        <w:ind w:firstLine="420"/>
        <w:rPr>
          <w:sz w:val="22"/>
        </w:rPr>
      </w:pPr>
      <w:r w:rsidRPr="006A78F3">
        <w:rPr>
          <w:sz w:val="22"/>
        </w:rPr>
        <w:t xml:space="preserve">9,5% </w:t>
      </w:r>
      <w:r w:rsidR="0032466A" w:rsidRPr="006A78F3">
        <w:rPr>
          <w:sz w:val="22"/>
        </w:rPr>
        <w:t xml:space="preserve">refirieron </w:t>
      </w:r>
      <w:r w:rsidRPr="006A78F3">
        <w:rPr>
          <w:sz w:val="22"/>
        </w:rPr>
        <w:t>tos o dificultad para respirar en el último año. Del total de personas que refieren este problema de salud, el 38,6</w:t>
      </w:r>
      <w:proofErr w:type="gramStart"/>
      <w:r w:rsidRPr="006A78F3">
        <w:rPr>
          <w:sz w:val="22"/>
        </w:rPr>
        <w:t>%  tuvieron</w:t>
      </w:r>
      <w:proofErr w:type="gramEnd"/>
      <w:r w:rsidRPr="006A78F3">
        <w:rPr>
          <w:sz w:val="22"/>
        </w:rPr>
        <w:t xml:space="preserve"> 3 o más episodios, esto representó el 3,7% del total de las personas relevadas. </w:t>
      </w:r>
    </w:p>
    <w:p w14:paraId="0A1BFF4D" w14:textId="02255CBF" w:rsidR="004702E8" w:rsidRPr="006A78F3" w:rsidRDefault="004702E8" w:rsidP="006A78F3">
      <w:pPr>
        <w:ind w:firstLine="420"/>
        <w:rPr>
          <w:sz w:val="22"/>
        </w:rPr>
      </w:pPr>
      <w:r w:rsidRPr="006A78F3">
        <w:rPr>
          <w:sz w:val="22"/>
        </w:rPr>
        <w:t>Con respecto a diarreas en el último año hubo referencia en 8,5% de las personas relevadas, de éstos, 33,5% tuvieron 3 episodios o más, lo cual</w:t>
      </w:r>
      <w:r w:rsidR="0032466A" w:rsidRPr="006A78F3">
        <w:rPr>
          <w:sz w:val="22"/>
        </w:rPr>
        <w:t xml:space="preserve"> </w:t>
      </w:r>
      <w:r w:rsidRPr="006A78F3">
        <w:rPr>
          <w:sz w:val="22"/>
        </w:rPr>
        <w:t xml:space="preserve">representó el 2,9% del total las personas relevadas </w:t>
      </w:r>
    </w:p>
    <w:p w14:paraId="6F1DF414" w14:textId="33FDF9EB" w:rsidR="004702E8" w:rsidRPr="006A78F3" w:rsidRDefault="004702E8" w:rsidP="006A78F3">
      <w:pPr>
        <w:ind w:firstLine="420"/>
        <w:rPr>
          <w:sz w:val="22"/>
        </w:rPr>
      </w:pPr>
      <w:r w:rsidRPr="006A78F3">
        <w:rPr>
          <w:sz w:val="22"/>
        </w:rPr>
        <w:t xml:space="preserve">El 8,1% de los casos, hizo referencia a problemas dermatológicos. </w:t>
      </w:r>
    </w:p>
    <w:p w14:paraId="46DE3B04" w14:textId="4F93B9FF" w:rsidR="0032466A" w:rsidRPr="006A78F3" w:rsidRDefault="004702E8" w:rsidP="006A78F3">
      <w:pPr>
        <w:rPr>
          <w:sz w:val="22"/>
        </w:rPr>
      </w:pPr>
      <w:r w:rsidRPr="006A78F3">
        <w:rPr>
          <w:sz w:val="22"/>
        </w:rPr>
        <w:t>La mayor frecuencia de lesiones de causa externa referida por los entrevistados fue accidente de tránsito con el 0,9%, lo menos frecuente fueron los accidentes por inmersión con el 0,01% (</w:t>
      </w:r>
      <w:r w:rsidR="0032466A" w:rsidRPr="006A78F3">
        <w:rPr>
          <w:sz w:val="22"/>
        </w:rPr>
        <w:t>2</w:t>
      </w:r>
      <w:r w:rsidRPr="006A78F3">
        <w:rPr>
          <w:sz w:val="22"/>
        </w:rPr>
        <w:t xml:space="preserve"> caso</w:t>
      </w:r>
      <w:r w:rsidR="0032466A" w:rsidRPr="006A78F3">
        <w:rPr>
          <w:sz w:val="22"/>
        </w:rPr>
        <w:t>s).</w:t>
      </w:r>
    </w:p>
    <w:p w14:paraId="4EC6C072" w14:textId="6CDA10FE" w:rsidR="0032466A" w:rsidRPr="006A78F3" w:rsidRDefault="0032466A" w:rsidP="001E2C3C">
      <w:pPr>
        <w:widowControl/>
        <w:pBdr>
          <w:top w:val="none" w:sz="0" w:space="0" w:color="000000"/>
          <w:left w:val="none" w:sz="0" w:space="0" w:color="000000"/>
          <w:bottom w:val="none" w:sz="0" w:space="0" w:color="000000"/>
          <w:right w:val="none" w:sz="0" w:space="0" w:color="000000"/>
          <w:between w:val="none" w:sz="0" w:space="0" w:color="000000"/>
        </w:pBdr>
        <w:rPr>
          <w:sz w:val="22"/>
        </w:rPr>
      </w:pPr>
      <w:r w:rsidRPr="006A78F3">
        <w:rPr>
          <w:sz w:val="22"/>
        </w:rPr>
        <w:t xml:space="preserve">En </w:t>
      </w:r>
      <w:r w:rsidR="004702E8" w:rsidRPr="006A78F3">
        <w:rPr>
          <w:sz w:val="22"/>
        </w:rPr>
        <w:t xml:space="preserve">los menores de 6 años en el último año, el 14,6% tuvo tos o dificultad para respirar. De éstos, el 42,1% tuvieron 3 o más episodios, esto representó el 6,1% de la población de 6 años y menos. </w:t>
      </w:r>
    </w:p>
    <w:p w14:paraId="3BB0489F" w14:textId="5B8D9DAF" w:rsidR="0032466A" w:rsidRPr="006A78F3" w:rsidRDefault="004702E8" w:rsidP="001E2C3C">
      <w:pPr>
        <w:widowControl/>
        <w:pBdr>
          <w:top w:val="none" w:sz="0" w:space="0" w:color="000000"/>
          <w:left w:val="none" w:sz="0" w:space="0" w:color="000000"/>
          <w:bottom w:val="none" w:sz="0" w:space="0" w:color="000000"/>
          <w:right w:val="none" w:sz="0" w:space="0" w:color="000000"/>
          <w:between w:val="none" w:sz="0" w:space="0" w:color="000000"/>
        </w:pBdr>
        <w:rPr>
          <w:sz w:val="22"/>
        </w:rPr>
      </w:pPr>
      <w:r w:rsidRPr="006A78F3">
        <w:rPr>
          <w:sz w:val="22"/>
        </w:rPr>
        <w:t xml:space="preserve">Respecto a las diarreas, se registraron un 13,2% en los menores de 6 años, y de estos, 34,4% tuvo 3 o más episodios, representando para el total de esta población el 4,5%. </w:t>
      </w:r>
    </w:p>
    <w:p w14:paraId="35861C22" w14:textId="2D64494F" w:rsidR="004702E8" w:rsidRPr="006A78F3" w:rsidRDefault="004702E8" w:rsidP="004702E8">
      <w:pPr>
        <w:widowControl/>
        <w:pBdr>
          <w:top w:val="none" w:sz="0" w:space="0" w:color="000000"/>
          <w:left w:val="none" w:sz="0" w:space="0" w:color="000000"/>
          <w:bottom w:val="none" w:sz="0" w:space="0" w:color="000000"/>
          <w:right w:val="none" w:sz="0" w:space="0" w:color="000000"/>
          <w:between w:val="none" w:sz="0" w:space="0" w:color="000000"/>
        </w:pBdr>
        <w:spacing w:after="160"/>
        <w:rPr>
          <w:sz w:val="22"/>
        </w:rPr>
      </w:pPr>
      <w:r w:rsidRPr="006A78F3">
        <w:rPr>
          <w:sz w:val="22"/>
        </w:rPr>
        <w:t xml:space="preserve">El 11,9% </w:t>
      </w:r>
      <w:r w:rsidR="0032466A" w:rsidRPr="006A78F3">
        <w:rPr>
          <w:sz w:val="22"/>
        </w:rPr>
        <w:t xml:space="preserve">de los menores de 6 años </w:t>
      </w:r>
      <w:r w:rsidRPr="006A78F3">
        <w:rPr>
          <w:sz w:val="22"/>
        </w:rPr>
        <w:t>tuvo problemas dermatológicos.</w:t>
      </w:r>
    </w:p>
    <w:p w14:paraId="7DB1ED40" w14:textId="6451B1F2" w:rsidR="0032466A" w:rsidRPr="006A78F3" w:rsidRDefault="004702E8" w:rsidP="004702E8">
      <w:pPr>
        <w:rPr>
          <w:sz w:val="22"/>
        </w:rPr>
      </w:pPr>
      <w:r w:rsidRPr="006A78F3">
        <w:rPr>
          <w:sz w:val="22"/>
        </w:rPr>
        <w:t xml:space="preserve">La mayor frecuencia de lesiones de causa externa referida por los entrevistados en los menores de 6 años, fue incendio o quemaduras con del 0,4%, seguido de caída de altura </w:t>
      </w:r>
      <w:r w:rsidRPr="006A78F3">
        <w:rPr>
          <w:sz w:val="22"/>
        </w:rPr>
        <w:lastRenderedPageBreak/>
        <w:t>0,3% seguido por accidente de tránsito con el 0,2%.</w:t>
      </w:r>
    </w:p>
    <w:p w14:paraId="06635C27" w14:textId="77777777" w:rsidR="004702E8" w:rsidRPr="006A78F3" w:rsidRDefault="004702E8" w:rsidP="004702E8">
      <w:pPr>
        <w:rPr>
          <w:sz w:val="22"/>
        </w:rPr>
      </w:pPr>
      <w:r w:rsidRPr="006A78F3">
        <w:rPr>
          <w:sz w:val="22"/>
        </w:rPr>
        <w:t>Anteriormente a este informe trimestral se envió información actualizada sobre el análisis de prevalencias de anomalías congénitas y mortalidad infantil según componentes y causas.</w:t>
      </w:r>
    </w:p>
    <w:p w14:paraId="31AA66B0" w14:textId="35484991" w:rsidR="004702E8" w:rsidRPr="006A78F3" w:rsidRDefault="004702E8" w:rsidP="006A78F3">
      <w:pPr>
        <w:rPr>
          <w:sz w:val="22"/>
        </w:rPr>
      </w:pPr>
      <w:r w:rsidRPr="006A78F3">
        <w:rPr>
          <w:sz w:val="22"/>
        </w:rPr>
        <w:t>El equipo de epidemiología de la DSyEA se encuentra actualizando el informe sobre mortalidad en la CMR y queda pendiente la información correspondiente al I</w:t>
      </w:r>
      <w:r w:rsidR="00E72CD0" w:rsidRPr="006A78F3">
        <w:rPr>
          <w:sz w:val="22"/>
        </w:rPr>
        <w:t>nstituto Nacional del Cáncer</w:t>
      </w:r>
      <w:r w:rsidRPr="006A78F3">
        <w:rPr>
          <w:sz w:val="22"/>
        </w:rPr>
        <w:t>, solicitada en reiteradas oportunidades.</w:t>
      </w:r>
    </w:p>
    <w:p w14:paraId="4D8E4F31" w14:textId="77777777" w:rsidR="00900D5B" w:rsidRDefault="00900D5B">
      <w:pPr>
        <w:ind w:firstLine="0"/>
      </w:pPr>
    </w:p>
    <w:p w14:paraId="6780F75F" w14:textId="4ABAFAD7" w:rsidR="00900D5B" w:rsidRPr="006A78F3" w:rsidRDefault="00C70F0F">
      <w:pPr>
        <w:pStyle w:val="Ttulo1"/>
        <w:spacing w:before="0" w:after="0"/>
        <w:rPr>
          <w:sz w:val="22"/>
          <w:szCs w:val="24"/>
        </w:rPr>
      </w:pPr>
      <w:bookmarkStart w:id="1" w:name="_Toc21530828"/>
      <w:r w:rsidRPr="006A78F3">
        <w:rPr>
          <w:sz w:val="22"/>
          <w:szCs w:val="24"/>
        </w:rPr>
        <w:t>I. Introducción</w:t>
      </w:r>
      <w:bookmarkEnd w:id="1"/>
    </w:p>
    <w:p w14:paraId="599ED8EB" w14:textId="77777777" w:rsidR="00900D5B" w:rsidRDefault="00900D5B"/>
    <w:p w14:paraId="3DF48E4E" w14:textId="77777777" w:rsidR="00900D5B" w:rsidRPr="006A78F3" w:rsidRDefault="00C70F0F">
      <w:pPr>
        <w:ind w:firstLine="720"/>
        <w:rPr>
          <w:sz w:val="22"/>
        </w:rPr>
      </w:pPr>
      <w:r>
        <w:t xml:space="preserve">La vigilancia de la salud es un proceso que consiste en el registro y la observación sistemática y continua de la frecuencia, distribución y determinantes de </w:t>
      </w:r>
      <w:r w:rsidRPr="006A78F3">
        <w:rPr>
          <w:sz w:val="22"/>
        </w:rPr>
        <w:t xml:space="preserve">eventos de importancia para la salud pública, y en el análisis y difusión de la información producida. Dicha información permitiría orientar las acciones de prevención y control, así como servir a la determinación de prioridades en las políticas de salud pública, es por ello que se entiende como “información para la acción”. </w:t>
      </w:r>
    </w:p>
    <w:p w14:paraId="3E71F378" w14:textId="77777777" w:rsidR="00B034B6" w:rsidRPr="006A78F3" w:rsidRDefault="00C70F0F">
      <w:pPr>
        <w:ind w:firstLine="720"/>
        <w:rPr>
          <w:sz w:val="22"/>
        </w:rPr>
      </w:pPr>
      <w:r w:rsidRPr="006A78F3">
        <w:rPr>
          <w:sz w:val="22"/>
        </w:rPr>
        <w:t>En pos de realizar un monitoreo de los eventos vinculados con el ambiente, en ACUMAR se realiza la vigilancia epidemiológica ambiental en dos ejes:</w:t>
      </w:r>
    </w:p>
    <w:p w14:paraId="7EFB726A" w14:textId="77777777" w:rsidR="00B034B6" w:rsidRPr="006A78F3" w:rsidRDefault="00C70F0F">
      <w:pPr>
        <w:ind w:firstLine="720"/>
        <w:rPr>
          <w:sz w:val="22"/>
        </w:rPr>
      </w:pPr>
      <w:r w:rsidRPr="006A78F3">
        <w:rPr>
          <w:sz w:val="22"/>
        </w:rPr>
        <w:t xml:space="preserve"> 1) a partir de fuentes secundarias de información (generalmente utilizando datos disponibles en la Secretaría de Salud del Ministerio de Salud y Desarrollo Social de la Nación), y </w:t>
      </w:r>
    </w:p>
    <w:p w14:paraId="6A04257E" w14:textId="0F61418D" w:rsidR="00900D5B" w:rsidRPr="006A78F3" w:rsidRDefault="00C70F0F">
      <w:pPr>
        <w:ind w:firstLine="720"/>
        <w:rPr>
          <w:sz w:val="22"/>
        </w:rPr>
      </w:pPr>
      <w:r w:rsidRPr="006A78F3">
        <w:rPr>
          <w:sz w:val="22"/>
        </w:rPr>
        <w:t xml:space="preserve">2) a partir de las fuentes primarias (obtenidas con los registros de pesquisa que se realizan desde la DSyEA de ACUMAR). </w:t>
      </w:r>
    </w:p>
    <w:p w14:paraId="211C6736" w14:textId="77777777" w:rsidR="00B034B6" w:rsidRPr="006A78F3" w:rsidRDefault="00B034B6">
      <w:pPr>
        <w:ind w:firstLine="720"/>
        <w:rPr>
          <w:sz w:val="22"/>
        </w:rPr>
      </w:pPr>
    </w:p>
    <w:p w14:paraId="3C1F46D7" w14:textId="77777777" w:rsidR="00900D5B" w:rsidRPr="006A78F3" w:rsidRDefault="00C70F0F">
      <w:pPr>
        <w:rPr>
          <w:sz w:val="22"/>
        </w:rPr>
      </w:pPr>
      <w:r w:rsidRPr="006A78F3">
        <w:rPr>
          <w:sz w:val="22"/>
        </w:rPr>
        <w:t>Las fuentes secundarias de información utilizadas para la vigilancia epidemiológica son los registros de morbilidad (enfermedad) y de mortalidad que han establecido los programas y direcciones nacionales y jurisdiccionales, y con los que ACUMAR comparte información de manera sistemática. Los registros nacionales son:</w:t>
      </w:r>
    </w:p>
    <w:p w14:paraId="16ED6772" w14:textId="77777777" w:rsidR="00900D5B" w:rsidRPr="006A78F3" w:rsidRDefault="00C70F0F">
      <w:pPr>
        <w:numPr>
          <w:ilvl w:val="0"/>
          <w:numId w:val="1"/>
        </w:numPr>
        <w:pBdr>
          <w:top w:val="nil"/>
          <w:left w:val="nil"/>
          <w:bottom w:val="nil"/>
          <w:right w:val="nil"/>
          <w:between w:val="nil"/>
        </w:pBdr>
        <w:rPr>
          <w:color w:val="000000"/>
          <w:sz w:val="22"/>
        </w:rPr>
      </w:pPr>
      <w:r w:rsidRPr="006A78F3">
        <w:rPr>
          <w:color w:val="000000"/>
          <w:sz w:val="22"/>
        </w:rPr>
        <w:t>Sistema Nacional de Vigilancia de la Salud (SNVS)</w:t>
      </w:r>
    </w:p>
    <w:p w14:paraId="2CA642E1" w14:textId="77777777" w:rsidR="00900D5B" w:rsidRPr="006A78F3" w:rsidRDefault="00C70F0F">
      <w:pPr>
        <w:numPr>
          <w:ilvl w:val="0"/>
          <w:numId w:val="1"/>
        </w:numPr>
        <w:pBdr>
          <w:top w:val="nil"/>
          <w:left w:val="nil"/>
          <w:bottom w:val="nil"/>
          <w:right w:val="nil"/>
          <w:between w:val="nil"/>
        </w:pBdr>
        <w:rPr>
          <w:color w:val="000000"/>
          <w:sz w:val="22"/>
        </w:rPr>
      </w:pPr>
      <w:r w:rsidRPr="006A78F3">
        <w:rPr>
          <w:color w:val="000000"/>
          <w:sz w:val="22"/>
        </w:rPr>
        <w:t>Re</w:t>
      </w:r>
      <w:r w:rsidRPr="006A78F3">
        <w:rPr>
          <w:sz w:val="22"/>
        </w:rPr>
        <w:t>d</w:t>
      </w:r>
      <w:r w:rsidRPr="006A78F3">
        <w:rPr>
          <w:color w:val="000000"/>
          <w:sz w:val="22"/>
        </w:rPr>
        <w:t xml:space="preserve"> Nacional de Anomalías Congénitas (RENAC) </w:t>
      </w:r>
    </w:p>
    <w:p w14:paraId="016069A4" w14:textId="77777777" w:rsidR="00900D5B" w:rsidRPr="006A78F3" w:rsidRDefault="00C70F0F">
      <w:pPr>
        <w:numPr>
          <w:ilvl w:val="0"/>
          <w:numId w:val="1"/>
        </w:numPr>
        <w:pBdr>
          <w:top w:val="nil"/>
          <w:left w:val="nil"/>
          <w:bottom w:val="nil"/>
          <w:right w:val="nil"/>
          <w:between w:val="nil"/>
        </w:pBdr>
        <w:rPr>
          <w:color w:val="000000"/>
          <w:sz w:val="22"/>
        </w:rPr>
      </w:pPr>
      <w:r w:rsidRPr="006A78F3">
        <w:rPr>
          <w:color w:val="000000"/>
          <w:sz w:val="22"/>
        </w:rPr>
        <w:t>Estadísticas Vitales de la Dirección de Estadísticas e Información en Salud (DEIS)</w:t>
      </w:r>
    </w:p>
    <w:p w14:paraId="6AC15905" w14:textId="77777777" w:rsidR="00900D5B" w:rsidRPr="006A78F3" w:rsidRDefault="00C70F0F">
      <w:pPr>
        <w:numPr>
          <w:ilvl w:val="0"/>
          <w:numId w:val="1"/>
        </w:numPr>
        <w:rPr>
          <w:sz w:val="22"/>
        </w:rPr>
      </w:pPr>
      <w:r w:rsidRPr="006A78F3">
        <w:rPr>
          <w:sz w:val="22"/>
        </w:rPr>
        <w:t>Registros del Instituto Nacional del Cáncer (INC)</w:t>
      </w:r>
    </w:p>
    <w:p w14:paraId="59B043CE" w14:textId="77777777" w:rsidR="00B034B6" w:rsidRPr="006A78F3" w:rsidRDefault="00B034B6">
      <w:pPr>
        <w:ind w:firstLine="0"/>
        <w:rPr>
          <w:sz w:val="22"/>
        </w:rPr>
      </w:pPr>
    </w:p>
    <w:p w14:paraId="1681079C" w14:textId="77777777" w:rsidR="00900D5B" w:rsidRPr="006A78F3" w:rsidRDefault="00C70F0F">
      <w:pPr>
        <w:ind w:firstLine="0"/>
        <w:rPr>
          <w:sz w:val="22"/>
        </w:rPr>
      </w:pPr>
      <w:r w:rsidRPr="006A78F3">
        <w:rPr>
          <w:sz w:val="22"/>
        </w:rPr>
        <w:t xml:space="preserve">Como fuente primaria de vigilancia epidemiológica se realizan las Evaluaciones Integrales </w:t>
      </w:r>
      <w:r w:rsidRPr="006A78F3">
        <w:rPr>
          <w:sz w:val="22"/>
        </w:rPr>
        <w:lastRenderedPageBreak/>
        <w:t xml:space="preserve">de Salud Ambiental en Áreas de Riesgo (EISAAR) a través de la pesquisa de Viviendas, Hogares y Personas. </w:t>
      </w:r>
    </w:p>
    <w:p w14:paraId="5A2610B9" w14:textId="77777777" w:rsidR="00B034B6" w:rsidRPr="006A78F3" w:rsidRDefault="00B034B6">
      <w:pPr>
        <w:rPr>
          <w:sz w:val="22"/>
        </w:rPr>
      </w:pPr>
    </w:p>
    <w:p w14:paraId="6F0DB519" w14:textId="77777777" w:rsidR="00900D5B" w:rsidRPr="006A78F3" w:rsidRDefault="00C70F0F">
      <w:pPr>
        <w:rPr>
          <w:sz w:val="22"/>
        </w:rPr>
      </w:pPr>
      <w:r w:rsidRPr="006A78F3">
        <w:rPr>
          <w:sz w:val="22"/>
        </w:rPr>
        <w:t>A continuación, se presentan la lista de eventos vinculados al ambiente según el consenso elaborado con las sociedades científicas</w:t>
      </w:r>
      <w:r w:rsidRPr="006A78F3">
        <w:rPr>
          <w:sz w:val="22"/>
          <w:vertAlign w:val="superscript"/>
        </w:rPr>
        <w:footnoteReference w:id="2"/>
      </w:r>
      <w:r w:rsidRPr="006A78F3">
        <w:rPr>
          <w:sz w:val="22"/>
        </w:rPr>
        <w:t xml:space="preserve"> y el tipo de fuente de relevamiento. Tabla 1.</w:t>
      </w:r>
    </w:p>
    <w:p w14:paraId="7BE98095" w14:textId="77777777" w:rsidR="00900D5B" w:rsidRDefault="00900D5B"/>
    <w:p w14:paraId="6073B2B2" w14:textId="46841BDF" w:rsidR="00900D5B" w:rsidRPr="006A78F3" w:rsidRDefault="00C70F0F" w:rsidP="00B034B6">
      <w:pPr>
        <w:ind w:left="720" w:firstLine="0"/>
        <w:rPr>
          <w:sz w:val="22"/>
        </w:rPr>
      </w:pPr>
      <w:r w:rsidRPr="006A78F3">
        <w:rPr>
          <w:b/>
          <w:sz w:val="22"/>
        </w:rPr>
        <w:t xml:space="preserve">Tabla 1: </w:t>
      </w:r>
      <w:r w:rsidRPr="006A78F3">
        <w:rPr>
          <w:sz w:val="22"/>
        </w:rPr>
        <w:t>Eventos vinculados al ambiente priorizados por ACUMAR y el tipo de fuente de relevamiento.</w:t>
      </w:r>
    </w:p>
    <w:tbl>
      <w:tblPr>
        <w:tblStyle w:val="a0"/>
        <w:tblW w:w="961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580"/>
        <w:gridCol w:w="1519"/>
        <w:gridCol w:w="1517"/>
      </w:tblGrid>
      <w:tr w:rsidR="00900D5B" w:rsidRPr="006A78F3" w14:paraId="0B22FA45" w14:textId="77777777" w:rsidTr="00CC784F">
        <w:trPr>
          <w:cantSplit/>
          <w:tblHeader/>
          <w:jc w:val="center"/>
        </w:trPr>
        <w:tc>
          <w:tcPr>
            <w:tcW w:w="6580" w:type="dxa"/>
            <w:tcBorders>
              <w:top w:val="single" w:sz="6" w:space="0" w:color="000000"/>
              <w:left w:val="single" w:sz="6" w:space="0" w:color="000000"/>
              <w:bottom w:val="single" w:sz="6" w:space="0" w:color="000000"/>
              <w:right w:val="single" w:sz="6" w:space="0" w:color="000000"/>
            </w:tcBorders>
            <w:shd w:val="clear" w:color="auto" w:fill="CFE2F3"/>
            <w:tcMar>
              <w:top w:w="0" w:type="dxa"/>
              <w:left w:w="0" w:type="dxa"/>
              <w:bottom w:w="0" w:type="dxa"/>
              <w:right w:w="0" w:type="dxa"/>
            </w:tcMar>
            <w:vAlign w:val="center"/>
          </w:tcPr>
          <w:p w14:paraId="519B4F99"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b/>
                <w:sz w:val="20"/>
                <w:szCs w:val="20"/>
              </w:rPr>
              <w:t>EVENTOS PRIORIZADOS POR ACUMAR</w:t>
            </w:r>
          </w:p>
        </w:tc>
        <w:tc>
          <w:tcPr>
            <w:tcW w:w="1519" w:type="dxa"/>
            <w:tcBorders>
              <w:top w:val="single" w:sz="6" w:space="0" w:color="000000"/>
              <w:bottom w:val="single" w:sz="6" w:space="0" w:color="000000"/>
              <w:right w:val="single" w:sz="6" w:space="0" w:color="000000"/>
            </w:tcBorders>
            <w:shd w:val="clear" w:color="auto" w:fill="CFE2F3"/>
            <w:tcMar>
              <w:top w:w="0" w:type="dxa"/>
              <w:left w:w="0" w:type="dxa"/>
              <w:bottom w:w="0" w:type="dxa"/>
              <w:right w:w="0" w:type="dxa"/>
            </w:tcMar>
            <w:vAlign w:val="center"/>
          </w:tcPr>
          <w:p w14:paraId="4E4980DD"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b/>
                <w:sz w:val="20"/>
                <w:szCs w:val="20"/>
              </w:rPr>
              <w:t>Fuente Primaria</w:t>
            </w:r>
          </w:p>
        </w:tc>
        <w:tc>
          <w:tcPr>
            <w:tcW w:w="1517" w:type="dxa"/>
            <w:tcBorders>
              <w:top w:val="single" w:sz="6" w:space="0" w:color="000000"/>
              <w:bottom w:val="single" w:sz="6" w:space="0" w:color="000000"/>
              <w:right w:val="single" w:sz="6" w:space="0" w:color="000000"/>
            </w:tcBorders>
            <w:shd w:val="clear" w:color="auto" w:fill="CFE2F3"/>
            <w:tcMar>
              <w:top w:w="0" w:type="dxa"/>
              <w:left w:w="0" w:type="dxa"/>
              <w:bottom w:w="0" w:type="dxa"/>
              <w:right w:w="0" w:type="dxa"/>
            </w:tcMar>
            <w:vAlign w:val="center"/>
          </w:tcPr>
          <w:p w14:paraId="74E187C8" w14:textId="77777777" w:rsidR="00900D5B" w:rsidRPr="006A78F3" w:rsidRDefault="00C70F0F">
            <w:pPr>
              <w:jc w:val="center"/>
              <w:rPr>
                <w:rFonts w:ascii="Gotham" w:eastAsia="Calibri" w:hAnsi="Gotham" w:cs="Calibri"/>
                <w:b/>
                <w:sz w:val="20"/>
                <w:szCs w:val="20"/>
              </w:rPr>
            </w:pPr>
            <w:r w:rsidRPr="006A78F3">
              <w:rPr>
                <w:rFonts w:ascii="Gotham" w:eastAsia="Calibri" w:hAnsi="Gotham" w:cs="Calibri"/>
                <w:b/>
                <w:sz w:val="20"/>
                <w:szCs w:val="20"/>
              </w:rPr>
              <w:t>Fuente secundaria</w:t>
            </w:r>
          </w:p>
        </w:tc>
      </w:tr>
      <w:tr w:rsidR="00900D5B" w:rsidRPr="006A78F3" w14:paraId="0AD89A5B"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57E7F139"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Abortos espontáneos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781DEE79"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2F527ED6"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190B6FF5"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32A65AE5"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 xml:space="preserve">Bajo peso al nacer – </w:t>
            </w:r>
            <w:proofErr w:type="spellStart"/>
            <w:r w:rsidRPr="006A78F3">
              <w:rPr>
                <w:rFonts w:ascii="Gotham" w:eastAsia="Calibri" w:hAnsi="Gotham" w:cs="Calibri"/>
                <w:sz w:val="20"/>
                <w:szCs w:val="20"/>
              </w:rPr>
              <w:t>Prematurez</w:t>
            </w:r>
            <w:proofErr w:type="spellEnd"/>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2F9C1C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328AFCA7"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5D76E5CE"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66D2C2F3"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Diarreas agudas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E8DBFEA"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5F085377"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29AAFD09"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355AE70E"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Afecciones de la piel</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7B5EC80B"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7E2D4487"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216B163B"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1FB9FDD7"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Enfermedades respiratorias aguda (alta y/o baja)</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D4BE41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237A2F0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78243AC4"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440A47C"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Enfermedad respiratoria crónica</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5EF2F4B9"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29A3489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 *</w:t>
            </w:r>
          </w:p>
        </w:tc>
      </w:tr>
      <w:tr w:rsidR="00900D5B" w:rsidRPr="006A78F3" w14:paraId="57CA4D1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0EF6BB7"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Anomalías congénitas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1C03FE5C"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6041CFB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0000FCF1"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06FD1CC4"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Cáncer (pulmón, piel, vejiga, leucemia)</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7454CC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789ED291"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7586BC8D"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40F44B32"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Intoxicación por metales pesados (Plomo; Cromo; Mercurio)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76F585FE"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44225E41"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42C764F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8E006EC"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Intoxicación por hidrocarburos (benceno; tolueno)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4576757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6C84EEBB"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4C7D2766"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679E47F"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Intoxicación por arsénico en el agua de consumo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D3FCAE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5357058F"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6232DE90"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85D55D5"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Intoxicación por Monóxido de Carbono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2FB2CE2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799B9F1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3F377672"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549136EB"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Intoxicación por Plaguicidas Agrícolas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61F4B1D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035717C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6DF849E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4DC7CEC0"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Hipertensión Arterial</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055385B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703CF7B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38AAFF17"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6938DB24"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Parasitosis intestinales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453BF06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2781C68E"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6E595B3E"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1308F677"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Tuberculosis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59E3F64A"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196C6487"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376F9FE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50E4F4F"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Dengue</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4105783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09E1D330"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0FB14E43"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5056DF26" w14:textId="77777777" w:rsidR="00900D5B" w:rsidRPr="006A78F3" w:rsidRDefault="00C70F0F">
            <w:pPr>
              <w:rPr>
                <w:rFonts w:ascii="Gotham" w:eastAsia="Calibri" w:hAnsi="Gotham" w:cs="Calibri"/>
                <w:sz w:val="20"/>
                <w:szCs w:val="20"/>
              </w:rPr>
            </w:pPr>
            <w:proofErr w:type="spellStart"/>
            <w:r w:rsidRPr="006A78F3">
              <w:rPr>
                <w:rFonts w:ascii="Gotham" w:eastAsia="Calibri" w:hAnsi="Gotham" w:cs="Calibri"/>
                <w:sz w:val="20"/>
                <w:szCs w:val="20"/>
              </w:rPr>
              <w:t>Zika</w:t>
            </w:r>
            <w:proofErr w:type="spellEnd"/>
          </w:p>
        </w:tc>
        <w:tc>
          <w:tcPr>
            <w:tcW w:w="1519" w:type="dxa"/>
            <w:tcBorders>
              <w:bottom w:val="single" w:sz="6" w:space="0" w:color="000000"/>
              <w:right w:val="single" w:sz="6" w:space="0" w:color="000000"/>
            </w:tcBorders>
            <w:tcMar>
              <w:top w:w="0" w:type="dxa"/>
              <w:left w:w="0" w:type="dxa"/>
              <w:bottom w:w="0" w:type="dxa"/>
              <w:right w:w="0" w:type="dxa"/>
            </w:tcMar>
            <w:vAlign w:val="center"/>
          </w:tcPr>
          <w:p w14:paraId="2FBB9A69"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4B1F6D4F"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4C7CDE9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0141CA9" w14:textId="77777777" w:rsidR="00900D5B" w:rsidRPr="006A78F3" w:rsidRDefault="00C70F0F">
            <w:pPr>
              <w:rPr>
                <w:rFonts w:ascii="Gotham" w:eastAsia="Calibri" w:hAnsi="Gotham" w:cs="Calibri"/>
                <w:sz w:val="20"/>
                <w:szCs w:val="20"/>
              </w:rPr>
            </w:pPr>
            <w:proofErr w:type="spellStart"/>
            <w:r w:rsidRPr="006A78F3">
              <w:rPr>
                <w:rFonts w:ascii="Gotham" w:eastAsia="Calibri" w:hAnsi="Gotham" w:cs="Calibri"/>
                <w:sz w:val="20"/>
                <w:szCs w:val="20"/>
              </w:rPr>
              <w:t>Chikungunya</w:t>
            </w:r>
            <w:proofErr w:type="spellEnd"/>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E9C3B56"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0A9D3813"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286D017A"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6D74D8DE"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Malnutrición</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36B0A07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310859E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3A101EFF"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8DE7F02"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Caídas de altura</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0ABB59D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5071D549"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7CCEE8FF"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1781EF6F"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Quemaduras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6ECB4425"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070242F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r>
      <w:tr w:rsidR="00900D5B" w:rsidRPr="006A78F3" w14:paraId="7D1537F0"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8CD697C"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Ahogamiento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6B5494C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26DCBB96"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46F46DC9"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320FF936"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Accidentes de tránsito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29D84C62"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69F7152E"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3BC7E3EC"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A249D53"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Picadura de arácnido</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59B442CE"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7373C7E0"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219DB1E5"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E7F9ED6"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Hantavirus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00FD6A3D"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14E14841"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r w:rsidR="00900D5B" w:rsidRPr="006A78F3" w14:paraId="1D2DA9CE" w14:textId="77777777">
        <w:trPr>
          <w:jc w:val="center"/>
        </w:trPr>
        <w:tc>
          <w:tcPr>
            <w:tcW w:w="658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39BE59B9" w14:textId="77777777" w:rsidR="00900D5B" w:rsidRPr="006A78F3" w:rsidRDefault="00C70F0F">
            <w:pPr>
              <w:rPr>
                <w:rFonts w:ascii="Gotham" w:eastAsia="Calibri" w:hAnsi="Gotham" w:cs="Calibri"/>
                <w:sz w:val="20"/>
                <w:szCs w:val="20"/>
              </w:rPr>
            </w:pPr>
            <w:r w:rsidRPr="006A78F3">
              <w:rPr>
                <w:rFonts w:ascii="Gotham" w:eastAsia="Calibri" w:hAnsi="Gotham" w:cs="Calibri"/>
                <w:sz w:val="20"/>
                <w:szCs w:val="20"/>
              </w:rPr>
              <w:t>Leptospirosis</w:t>
            </w:r>
          </w:p>
        </w:tc>
        <w:tc>
          <w:tcPr>
            <w:tcW w:w="1519" w:type="dxa"/>
            <w:tcBorders>
              <w:bottom w:val="single" w:sz="6" w:space="0" w:color="000000"/>
              <w:right w:val="single" w:sz="6" w:space="0" w:color="000000"/>
            </w:tcBorders>
            <w:tcMar>
              <w:top w:w="0" w:type="dxa"/>
              <w:left w:w="0" w:type="dxa"/>
              <w:bottom w:w="0" w:type="dxa"/>
              <w:right w:w="0" w:type="dxa"/>
            </w:tcMar>
            <w:vAlign w:val="center"/>
          </w:tcPr>
          <w:p w14:paraId="5684E0E4"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NO</w:t>
            </w:r>
          </w:p>
        </w:tc>
        <w:tc>
          <w:tcPr>
            <w:tcW w:w="1517" w:type="dxa"/>
            <w:tcBorders>
              <w:bottom w:val="single" w:sz="6" w:space="0" w:color="000000"/>
              <w:right w:val="single" w:sz="6" w:space="0" w:color="000000"/>
            </w:tcBorders>
            <w:tcMar>
              <w:top w:w="0" w:type="dxa"/>
              <w:left w:w="0" w:type="dxa"/>
              <w:bottom w:w="0" w:type="dxa"/>
              <w:right w:w="0" w:type="dxa"/>
            </w:tcMar>
            <w:vAlign w:val="center"/>
          </w:tcPr>
          <w:p w14:paraId="42B46258" w14:textId="77777777" w:rsidR="00900D5B" w:rsidRPr="006A78F3" w:rsidRDefault="00C70F0F">
            <w:pPr>
              <w:jc w:val="center"/>
              <w:rPr>
                <w:rFonts w:ascii="Gotham" w:eastAsia="Calibri" w:hAnsi="Gotham" w:cs="Calibri"/>
                <w:sz w:val="20"/>
                <w:szCs w:val="20"/>
              </w:rPr>
            </w:pPr>
            <w:r w:rsidRPr="006A78F3">
              <w:rPr>
                <w:rFonts w:ascii="Gotham" w:eastAsia="Calibri" w:hAnsi="Gotham" w:cs="Calibri"/>
                <w:sz w:val="20"/>
                <w:szCs w:val="20"/>
              </w:rPr>
              <w:t>SI</w:t>
            </w:r>
          </w:p>
        </w:tc>
      </w:tr>
    </w:tbl>
    <w:p w14:paraId="290C14A8" w14:textId="77777777" w:rsidR="00900D5B" w:rsidRDefault="00C70F0F">
      <w:pPr>
        <w:jc w:val="center"/>
        <w:rPr>
          <w:sz w:val="18"/>
          <w:szCs w:val="18"/>
        </w:rPr>
      </w:pPr>
      <w:r>
        <w:rPr>
          <w:sz w:val="18"/>
          <w:szCs w:val="18"/>
        </w:rPr>
        <w:t>Fuente: Elaboración propia</w:t>
      </w:r>
    </w:p>
    <w:p w14:paraId="08CFEE9D" w14:textId="77777777" w:rsidR="005E55AE" w:rsidRDefault="005E55AE">
      <w:pPr>
        <w:jc w:val="center"/>
        <w:rPr>
          <w:sz w:val="18"/>
          <w:szCs w:val="18"/>
        </w:rPr>
      </w:pPr>
    </w:p>
    <w:p w14:paraId="4F8136F0" w14:textId="5E58BEC7" w:rsidR="00900D5B" w:rsidRPr="006A78F3" w:rsidRDefault="00C70F0F">
      <w:pPr>
        <w:spacing w:line="240" w:lineRule="auto"/>
        <w:ind w:firstLine="0"/>
        <w:rPr>
          <w:sz w:val="18"/>
          <w:szCs w:val="18"/>
        </w:rPr>
      </w:pPr>
      <w:r w:rsidRPr="006A78F3">
        <w:rPr>
          <w:sz w:val="18"/>
          <w:szCs w:val="18"/>
        </w:rPr>
        <w:t>*La Encuesta Nacional de Factores de Riesgo (ENFR) realizada en el año 2013, analiza datos de patologías respiratorias crónicas, sin embargo, s</w:t>
      </w:r>
      <w:r w:rsidR="001628F3" w:rsidRPr="006A78F3">
        <w:rPr>
          <w:sz w:val="18"/>
          <w:szCs w:val="18"/>
        </w:rPr>
        <w:t>u</w:t>
      </w:r>
      <w:r w:rsidRPr="006A78F3">
        <w:rPr>
          <w:sz w:val="18"/>
          <w:szCs w:val="18"/>
        </w:rPr>
        <w:t xml:space="preserve"> mínimo nivel de desagregación es provincial. </w:t>
      </w:r>
    </w:p>
    <w:p w14:paraId="2B258116" w14:textId="77777777" w:rsidR="00900D5B" w:rsidRPr="006A78F3" w:rsidRDefault="00C70F0F">
      <w:pPr>
        <w:spacing w:line="240" w:lineRule="auto"/>
        <w:ind w:firstLine="0"/>
        <w:rPr>
          <w:sz w:val="18"/>
          <w:szCs w:val="18"/>
        </w:rPr>
      </w:pPr>
      <w:r w:rsidRPr="006A78F3">
        <w:t>**</w:t>
      </w:r>
      <w:r w:rsidRPr="006A78F3">
        <w:rPr>
          <w:sz w:val="18"/>
          <w:szCs w:val="18"/>
        </w:rPr>
        <w:t xml:space="preserve"> Actualmente el área de Vigilancia y el Programa de TBC de la Secretaría de Salud del Ministerio de Salud y Desarrollo Social de la Nación se encuentran trabajando en una nueva </w:t>
      </w:r>
      <w:proofErr w:type="spellStart"/>
      <w:r w:rsidRPr="006A78F3">
        <w:rPr>
          <w:sz w:val="18"/>
          <w:szCs w:val="18"/>
        </w:rPr>
        <w:t>guia</w:t>
      </w:r>
      <w:proofErr w:type="spellEnd"/>
      <w:r w:rsidRPr="006A78F3">
        <w:rPr>
          <w:sz w:val="18"/>
          <w:szCs w:val="18"/>
        </w:rPr>
        <w:t xml:space="preserve"> y modalidad de notificación.</w:t>
      </w:r>
    </w:p>
    <w:p w14:paraId="58D5F20C" w14:textId="77777777" w:rsidR="00900D5B" w:rsidRDefault="00C70F0F">
      <w:pPr>
        <w:spacing w:line="240" w:lineRule="auto"/>
        <w:ind w:firstLine="0"/>
        <w:rPr>
          <w:sz w:val="18"/>
          <w:szCs w:val="18"/>
        </w:rPr>
      </w:pPr>
      <w:r>
        <w:rPr>
          <w:sz w:val="18"/>
          <w:szCs w:val="18"/>
        </w:rPr>
        <w:lastRenderedPageBreak/>
        <w:t>*** La Encuesta Nacional de Nutrición y Salud (</w:t>
      </w:r>
      <w:proofErr w:type="spellStart"/>
      <w:r>
        <w:rPr>
          <w:sz w:val="18"/>
          <w:szCs w:val="18"/>
        </w:rPr>
        <w:t>ENNyS</w:t>
      </w:r>
      <w:proofErr w:type="spellEnd"/>
      <w:r>
        <w:rPr>
          <w:sz w:val="18"/>
          <w:szCs w:val="18"/>
        </w:rPr>
        <w:t xml:space="preserve">) fue realizada en el año 2005, en la actualidad se encuentra en desarrollo de campo una nueva </w:t>
      </w:r>
      <w:proofErr w:type="spellStart"/>
      <w:proofErr w:type="gramStart"/>
      <w:r>
        <w:rPr>
          <w:sz w:val="18"/>
          <w:szCs w:val="18"/>
        </w:rPr>
        <w:t>encuesta.Los</w:t>
      </w:r>
      <w:proofErr w:type="spellEnd"/>
      <w:proofErr w:type="gramEnd"/>
      <w:r>
        <w:rPr>
          <w:sz w:val="18"/>
          <w:szCs w:val="18"/>
        </w:rPr>
        <w:t xml:space="preserve"> datos de la </w:t>
      </w:r>
      <w:proofErr w:type="spellStart"/>
      <w:r>
        <w:rPr>
          <w:sz w:val="18"/>
          <w:szCs w:val="18"/>
        </w:rPr>
        <w:t>ENNyS</w:t>
      </w:r>
      <w:proofErr w:type="spellEnd"/>
      <w:r>
        <w:rPr>
          <w:sz w:val="18"/>
          <w:szCs w:val="18"/>
        </w:rPr>
        <w:t xml:space="preserve"> 2005 tienen un desagregado mínimo de nivel provincial.</w:t>
      </w:r>
    </w:p>
    <w:p w14:paraId="22B39406" w14:textId="77777777" w:rsidR="00900D5B" w:rsidRDefault="00900D5B">
      <w:pPr>
        <w:ind w:left="720" w:firstLine="0"/>
        <w:rPr>
          <w:sz w:val="18"/>
          <w:szCs w:val="18"/>
        </w:rPr>
      </w:pPr>
    </w:p>
    <w:p w14:paraId="5E425F9A" w14:textId="77777777" w:rsidR="00900D5B" w:rsidRDefault="00900D5B">
      <w:pPr>
        <w:pBdr>
          <w:top w:val="nil"/>
          <w:left w:val="nil"/>
          <w:bottom w:val="nil"/>
          <w:right w:val="nil"/>
          <w:between w:val="nil"/>
        </w:pBdr>
        <w:spacing w:line="240" w:lineRule="auto"/>
        <w:ind w:firstLine="0"/>
        <w:rPr>
          <w:rFonts w:ascii="Corbel" w:eastAsia="Corbel" w:hAnsi="Corbel" w:cs="Corbel"/>
          <w:color w:val="000000"/>
          <w:sz w:val="22"/>
          <w:szCs w:val="22"/>
        </w:rPr>
      </w:pPr>
      <w:bookmarkStart w:id="2" w:name="_1fob9te" w:colFirst="0" w:colLast="0"/>
      <w:bookmarkEnd w:id="2"/>
    </w:p>
    <w:p w14:paraId="5200F911" w14:textId="357AC341" w:rsidR="00B034B6" w:rsidRPr="006A78F3" w:rsidRDefault="00C70F0F">
      <w:pPr>
        <w:pStyle w:val="Ttulo1"/>
        <w:spacing w:before="0" w:after="0"/>
        <w:rPr>
          <w:sz w:val="22"/>
          <w:szCs w:val="24"/>
          <w:highlight w:val="white"/>
        </w:rPr>
      </w:pPr>
      <w:bookmarkStart w:id="3" w:name="_Toc21530829"/>
      <w:r w:rsidRPr="006A78F3">
        <w:rPr>
          <w:sz w:val="22"/>
          <w:szCs w:val="24"/>
          <w:highlight w:val="white"/>
        </w:rPr>
        <w:t xml:space="preserve">II. </w:t>
      </w:r>
      <w:r w:rsidR="00B034B6" w:rsidRPr="006A78F3">
        <w:rPr>
          <w:sz w:val="22"/>
          <w:szCs w:val="24"/>
          <w:highlight w:val="white"/>
        </w:rPr>
        <w:t>Análisis de Información disponible a partir de fuentes secundarias:</w:t>
      </w:r>
      <w:bookmarkEnd w:id="3"/>
    </w:p>
    <w:p w14:paraId="335A8457" w14:textId="41A159B3" w:rsidR="00900D5B" w:rsidRPr="006A78F3" w:rsidRDefault="00B034B6" w:rsidP="00B034B6">
      <w:pPr>
        <w:pStyle w:val="Ttulo2"/>
        <w:rPr>
          <w:sz w:val="22"/>
          <w:highlight w:val="white"/>
        </w:rPr>
      </w:pPr>
      <w:bookmarkStart w:id="4" w:name="_Toc21530830"/>
      <w:r w:rsidRPr="006A78F3">
        <w:rPr>
          <w:sz w:val="22"/>
          <w:highlight w:val="white"/>
        </w:rPr>
        <w:t xml:space="preserve">II. a. </w:t>
      </w:r>
      <w:r w:rsidR="00C70F0F" w:rsidRPr="006A78F3">
        <w:rPr>
          <w:sz w:val="22"/>
          <w:highlight w:val="white"/>
        </w:rPr>
        <w:t>Sistema Nacional de Vigilancia de la Salud</w:t>
      </w:r>
      <w:bookmarkEnd w:id="4"/>
      <w:r w:rsidR="00C70F0F" w:rsidRPr="006A78F3">
        <w:rPr>
          <w:sz w:val="22"/>
          <w:highlight w:val="white"/>
        </w:rPr>
        <w:t xml:space="preserve"> </w:t>
      </w:r>
    </w:p>
    <w:p w14:paraId="3293DEF0" w14:textId="77777777" w:rsidR="00900D5B" w:rsidRPr="006A78F3" w:rsidRDefault="00900D5B">
      <w:pPr>
        <w:rPr>
          <w:sz w:val="22"/>
        </w:rPr>
      </w:pPr>
    </w:p>
    <w:p w14:paraId="6DDC7527" w14:textId="77777777" w:rsidR="00900D5B" w:rsidRPr="006A78F3" w:rsidRDefault="00C70F0F">
      <w:pPr>
        <w:ind w:firstLine="720"/>
        <w:rPr>
          <w:sz w:val="22"/>
        </w:rPr>
      </w:pPr>
      <w:r w:rsidRPr="006A78F3">
        <w:rPr>
          <w:sz w:val="22"/>
        </w:rPr>
        <w:t xml:space="preserve">El Sistema Nacional de Vigilancia de la Salud (SNVS), cuya gestión y administración depende de la Secretaría de Salud del Ministerio de Salud y Desarrollo Social, recopila información sobre los eventos de notificación obligatoria (ENO) para ponerla a disposición de quienes deben tomar decisiones de salud pública o tienen a su cargo las acciones de control o prevención. Es un sistema de registro que se ocupa de la notificación y el seguimiento de eventos de importancia sanitaria con la finalidad de intervenir precozmente en su prevención y/o control. Es, a su vez, un sistema de comunicación que conecta a los múltiples actores que intervienen en el circuito de atención-diagnóstico-seguimiento-prevención-control de enfermedades (Nación, Provincias, Municipios, Establecimientos Asistenciales, Profesionales de la Salud). El SNVS se constituye como una red que permite la interconexión de los distintos efectores del sistema de vigilancia, compartiendo el intercambio de información. </w:t>
      </w:r>
    </w:p>
    <w:p w14:paraId="3D873C73" w14:textId="777D5E99" w:rsidR="00900D5B" w:rsidRPr="006A78F3" w:rsidRDefault="00C70F0F">
      <w:pPr>
        <w:ind w:firstLine="720"/>
        <w:rPr>
          <w:rFonts w:ascii="EB Garamond" w:eastAsia="EB Garamond" w:hAnsi="EB Garamond" w:cs="EB Garamond"/>
          <w:color w:val="000000"/>
          <w:sz w:val="20"/>
          <w:szCs w:val="22"/>
        </w:rPr>
      </w:pPr>
      <w:r w:rsidRPr="006A78F3">
        <w:rPr>
          <w:sz w:val="22"/>
        </w:rPr>
        <w:t>La red de vigilancia est</w:t>
      </w:r>
      <w:r w:rsidR="00E76BD8" w:rsidRPr="006A78F3">
        <w:rPr>
          <w:sz w:val="22"/>
        </w:rPr>
        <w:t>aba</w:t>
      </w:r>
      <w:r w:rsidRPr="006A78F3">
        <w:rPr>
          <w:sz w:val="22"/>
        </w:rPr>
        <w:t xml:space="preserve"> conformada por nodos que </w:t>
      </w:r>
      <w:r w:rsidR="00E76BD8" w:rsidRPr="006A78F3">
        <w:rPr>
          <w:sz w:val="22"/>
        </w:rPr>
        <w:t>eran</w:t>
      </w:r>
      <w:r w:rsidRPr="006A78F3">
        <w:rPr>
          <w:sz w:val="22"/>
        </w:rPr>
        <w:t xml:space="preserve"> los sitios donde se carga</w:t>
      </w:r>
      <w:r w:rsidR="00E76BD8" w:rsidRPr="006A78F3">
        <w:rPr>
          <w:sz w:val="22"/>
        </w:rPr>
        <w:t>ba</w:t>
      </w:r>
      <w:r w:rsidRPr="006A78F3">
        <w:rPr>
          <w:sz w:val="22"/>
        </w:rPr>
        <w:t>, sistematiza</w:t>
      </w:r>
      <w:r w:rsidR="00E76BD8" w:rsidRPr="006A78F3">
        <w:rPr>
          <w:sz w:val="22"/>
        </w:rPr>
        <w:t>ba</w:t>
      </w:r>
      <w:r w:rsidRPr="006A78F3">
        <w:rPr>
          <w:sz w:val="22"/>
        </w:rPr>
        <w:t>, analiza</w:t>
      </w:r>
      <w:r w:rsidR="00E76BD8" w:rsidRPr="006A78F3">
        <w:rPr>
          <w:sz w:val="22"/>
        </w:rPr>
        <w:t>ba</w:t>
      </w:r>
      <w:r w:rsidRPr="006A78F3">
        <w:rPr>
          <w:sz w:val="22"/>
        </w:rPr>
        <w:t xml:space="preserve"> y difund</w:t>
      </w:r>
      <w:r w:rsidR="00E76BD8" w:rsidRPr="006A78F3">
        <w:rPr>
          <w:sz w:val="22"/>
        </w:rPr>
        <w:t>ía</w:t>
      </w:r>
      <w:r w:rsidRPr="006A78F3">
        <w:rPr>
          <w:sz w:val="22"/>
        </w:rPr>
        <w:t xml:space="preserve"> la información a través de las estrategias de </w:t>
      </w:r>
      <w:r w:rsidR="00E76BD8" w:rsidRPr="006A78F3">
        <w:rPr>
          <w:sz w:val="22"/>
        </w:rPr>
        <w:t>v</w:t>
      </w:r>
      <w:r w:rsidRPr="006A78F3">
        <w:rPr>
          <w:sz w:val="22"/>
        </w:rPr>
        <w:t xml:space="preserve">igilancia Clínica (C2), </w:t>
      </w:r>
      <w:proofErr w:type="spellStart"/>
      <w:r w:rsidRPr="006A78F3">
        <w:rPr>
          <w:sz w:val="22"/>
        </w:rPr>
        <w:t>laboratorial</w:t>
      </w:r>
      <w:proofErr w:type="spellEnd"/>
      <w:r w:rsidRPr="006A78F3">
        <w:rPr>
          <w:sz w:val="22"/>
        </w:rPr>
        <w:t xml:space="preserve"> (SIVILA) y de otras estrategias de vigilancia (Unidades Centinela). A partir de la semana epidemiológica (SE) número 18 del año 2018 (29 de Abril), la carga de esta información se realiza en una ficha individual que permite integrar las tres estrategias para cada persona, pasando a denominarse SNVS </w:t>
      </w:r>
      <w:r w:rsidRPr="006A78F3">
        <w:rPr>
          <w:sz w:val="22"/>
          <w:vertAlign w:val="superscript"/>
        </w:rPr>
        <w:t>2.0</w:t>
      </w:r>
      <w:r w:rsidRPr="006A78F3">
        <w:rPr>
          <w:sz w:val="22"/>
        </w:rPr>
        <w:t>.</w:t>
      </w:r>
      <w:r w:rsidRPr="006A78F3">
        <w:rPr>
          <w:rFonts w:ascii="Corbel" w:eastAsia="Corbel" w:hAnsi="Corbel" w:cs="Corbel"/>
          <w:color w:val="000000"/>
          <w:sz w:val="20"/>
          <w:szCs w:val="22"/>
        </w:rPr>
        <w:tab/>
      </w:r>
    </w:p>
    <w:p w14:paraId="0826D52F" w14:textId="77777777" w:rsidR="00900D5B" w:rsidRPr="006A78F3" w:rsidRDefault="00C70F0F">
      <w:pPr>
        <w:ind w:firstLine="720"/>
        <w:rPr>
          <w:sz w:val="22"/>
          <w:vertAlign w:val="superscript"/>
        </w:rPr>
      </w:pPr>
      <w:r w:rsidRPr="006A78F3">
        <w:rPr>
          <w:sz w:val="22"/>
        </w:rPr>
        <w:t xml:space="preserve">En el nuevo sistema (SNVS </w:t>
      </w:r>
      <w:r w:rsidRPr="006A78F3">
        <w:rPr>
          <w:sz w:val="22"/>
          <w:vertAlign w:val="superscript"/>
        </w:rPr>
        <w:t>2.0</w:t>
      </w:r>
      <w:r w:rsidRPr="006A78F3">
        <w:rPr>
          <w:sz w:val="22"/>
        </w:rPr>
        <w:t xml:space="preserve">), que utiliza la plataforma del Sistema Integrado de Información Sanitaria Argentino (SISA), la notificación se realiza nominalizada en un módulo que integra la información del paciente con todos los registros de prestaciones que el mismo tenga en los efectores que sean usuarios del sistema. En la actualidad los datos de las instituciones en donde un paciente es atendido figuran en este sistema integrado. Se está colaborando y articulando con la Dirección de Epidemiología de la Secretaría de Salud del Ministerio de Salud y Desarrollo Social de la Nación con el fin de poder generar los nuevos indicadores que permitan dar cuenta del uso del sistema y permitan evaluar al SNVS </w:t>
      </w:r>
      <w:r w:rsidRPr="006A78F3">
        <w:rPr>
          <w:sz w:val="22"/>
          <w:vertAlign w:val="superscript"/>
        </w:rPr>
        <w:t>2.0</w:t>
      </w:r>
      <w:r w:rsidRPr="006A78F3">
        <w:rPr>
          <w:sz w:val="22"/>
        </w:rPr>
        <w:t>.</w:t>
      </w:r>
    </w:p>
    <w:p w14:paraId="54CD118A" w14:textId="77777777" w:rsidR="00900D5B" w:rsidRPr="006A78F3" w:rsidRDefault="00900D5B">
      <w:pPr>
        <w:rPr>
          <w:sz w:val="16"/>
          <w:szCs w:val="18"/>
        </w:rPr>
      </w:pPr>
    </w:p>
    <w:p w14:paraId="5A26AE14" w14:textId="77777777" w:rsidR="00900D5B" w:rsidRPr="006A78F3" w:rsidRDefault="00C70F0F">
      <w:pPr>
        <w:ind w:firstLine="0"/>
        <w:rPr>
          <w:b/>
          <w:sz w:val="22"/>
        </w:rPr>
      </w:pPr>
      <w:r w:rsidRPr="006A78F3">
        <w:rPr>
          <w:b/>
          <w:sz w:val="22"/>
        </w:rPr>
        <w:t>SNVS</w:t>
      </w:r>
      <w:r w:rsidRPr="006A78F3">
        <w:rPr>
          <w:b/>
          <w:sz w:val="22"/>
          <w:vertAlign w:val="superscript"/>
        </w:rPr>
        <w:t>2.0</w:t>
      </w:r>
      <w:r w:rsidRPr="006A78F3">
        <w:rPr>
          <w:b/>
          <w:sz w:val="22"/>
        </w:rPr>
        <w:t xml:space="preserve"> en la CMR</w:t>
      </w:r>
    </w:p>
    <w:p w14:paraId="18F11208" w14:textId="77777777" w:rsidR="00900D5B" w:rsidRPr="006A78F3" w:rsidRDefault="00900D5B">
      <w:pPr>
        <w:ind w:firstLine="420"/>
        <w:rPr>
          <w:sz w:val="22"/>
        </w:rPr>
      </w:pPr>
    </w:p>
    <w:p w14:paraId="734D6B6F" w14:textId="6FAB1678" w:rsidR="00900D5B" w:rsidRPr="006A78F3" w:rsidRDefault="00C70F0F">
      <w:pPr>
        <w:ind w:firstLine="420"/>
        <w:rPr>
          <w:sz w:val="22"/>
        </w:rPr>
      </w:pPr>
      <w:r w:rsidRPr="006A78F3">
        <w:rPr>
          <w:sz w:val="22"/>
        </w:rPr>
        <w:t>A continuación se presenta el listado de eventos vinculados con el ambiente vigilado a partir del Sistema Nacional de Vigilancia y la notificación recibida por parte de las jurisdicciones pertenecientes a la CMR</w:t>
      </w:r>
      <w:r w:rsidR="003B7C7E" w:rsidRPr="006A78F3">
        <w:rPr>
          <w:sz w:val="22"/>
        </w:rPr>
        <w:t xml:space="preserve">. Desde el 30 de diciembre de 2018 que corresponde al inicio de la Semana Epidemiológica 1 de 2019, y hasta la Semana Epidemiológica 35 (31 de agosto de 2019). </w:t>
      </w:r>
      <w:r w:rsidRPr="006A78F3">
        <w:rPr>
          <w:sz w:val="22"/>
        </w:rPr>
        <w:t>Cabe Aclarar que en la modalidad de vigilancia agrupada la notificación se realiza por establecimiento (tabla 2).</w:t>
      </w:r>
    </w:p>
    <w:p w14:paraId="2E445F6A" w14:textId="77777777" w:rsidR="00D01016" w:rsidRPr="006A78F3" w:rsidRDefault="00D01016" w:rsidP="008A02BB">
      <w:pPr>
        <w:ind w:firstLine="720"/>
        <w:rPr>
          <w:b/>
          <w:sz w:val="22"/>
        </w:rPr>
      </w:pPr>
    </w:p>
    <w:p w14:paraId="75965034" w14:textId="03BABF2A" w:rsidR="00900D5B" w:rsidRPr="006A78F3" w:rsidRDefault="00C70F0F" w:rsidP="008A02BB">
      <w:pPr>
        <w:ind w:firstLine="720"/>
        <w:rPr>
          <w:sz w:val="22"/>
        </w:rPr>
      </w:pPr>
      <w:r w:rsidRPr="006A78F3">
        <w:rPr>
          <w:b/>
          <w:sz w:val="22"/>
        </w:rPr>
        <w:t xml:space="preserve">Tabla 2. </w:t>
      </w:r>
      <w:r w:rsidRPr="006A78F3">
        <w:rPr>
          <w:sz w:val="22"/>
        </w:rPr>
        <w:t>Eventos priorizados a partir del Sistema Nacional de Vigilancia según modalidad de notificación en la estrategia de vigilancia agrupada, y notificación por parte de las jurisdicciones de la CMR, 1er semestre 2019- SE1 (30 de diciembre de 2018) a</w:t>
      </w:r>
      <w:r w:rsidR="003B7C7E" w:rsidRPr="006A78F3">
        <w:rPr>
          <w:sz w:val="22"/>
        </w:rPr>
        <w:t xml:space="preserve"> 35 (31 de agosto de 2019).</w:t>
      </w:r>
      <w:r w:rsidRPr="006A78F3">
        <w:rPr>
          <w:sz w:val="22"/>
        </w:rPr>
        <w:t xml:space="preserve"> </w:t>
      </w:r>
    </w:p>
    <w:p w14:paraId="792D0358" w14:textId="76E23F33" w:rsidR="008A02BB" w:rsidRDefault="008A02BB" w:rsidP="008A02BB">
      <w:pPr>
        <w:ind w:firstLine="720"/>
      </w:pPr>
      <w:r w:rsidRPr="008A02BB">
        <w:rPr>
          <w:noProof/>
          <w:lang w:val="es-ES"/>
        </w:rPr>
        <w:drawing>
          <wp:inline distT="0" distB="0" distL="0" distR="0" wp14:anchorId="242EA87C" wp14:editId="2C085A24">
            <wp:extent cx="5701139" cy="438531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4255" cy="4387707"/>
                    </a:xfrm>
                    <a:prstGeom prst="rect">
                      <a:avLst/>
                    </a:prstGeom>
                    <a:noFill/>
                    <a:ln>
                      <a:noFill/>
                    </a:ln>
                  </pic:spPr>
                </pic:pic>
              </a:graphicData>
            </a:graphic>
          </wp:inline>
        </w:drawing>
      </w:r>
    </w:p>
    <w:p w14:paraId="228FD63A" w14:textId="77777777" w:rsidR="00900D5B" w:rsidRDefault="00C70F0F">
      <w:pPr>
        <w:ind w:firstLine="0"/>
        <w:jc w:val="center"/>
        <w:rPr>
          <w:sz w:val="18"/>
          <w:szCs w:val="18"/>
        </w:rPr>
      </w:pPr>
      <w:r>
        <w:t xml:space="preserve">  </w:t>
      </w:r>
      <w:r>
        <w:rPr>
          <w:noProof/>
          <w:sz w:val="18"/>
          <w:szCs w:val="18"/>
          <w:lang w:val="es-ES"/>
        </w:rPr>
        <w:drawing>
          <wp:inline distT="114300" distB="114300" distL="114300" distR="114300" wp14:anchorId="6654439F" wp14:editId="49B3251F">
            <wp:extent cx="1695767" cy="304546"/>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695767" cy="304546"/>
                    </a:xfrm>
                    <a:prstGeom prst="rect">
                      <a:avLst/>
                    </a:prstGeom>
                    <a:ln/>
                  </pic:spPr>
                </pic:pic>
              </a:graphicData>
            </a:graphic>
          </wp:inline>
        </w:drawing>
      </w:r>
    </w:p>
    <w:p w14:paraId="031A21F3" w14:textId="77777777" w:rsidR="00900D5B" w:rsidRDefault="00C70F0F">
      <w:pPr>
        <w:jc w:val="center"/>
      </w:pPr>
      <w:r>
        <w:rPr>
          <w:sz w:val="18"/>
          <w:szCs w:val="18"/>
        </w:rPr>
        <w:t xml:space="preserve">Fuente: Elaboración propia en base a datos del SNVS </w:t>
      </w:r>
      <w:r>
        <w:rPr>
          <w:sz w:val="18"/>
          <w:szCs w:val="18"/>
          <w:vertAlign w:val="superscript"/>
        </w:rPr>
        <w:t>2.0</w:t>
      </w:r>
      <w:r>
        <w:rPr>
          <w:sz w:val="18"/>
          <w:szCs w:val="18"/>
        </w:rPr>
        <w:t>.</w:t>
      </w:r>
    </w:p>
    <w:p w14:paraId="1C952791" w14:textId="77777777" w:rsidR="00900D5B" w:rsidRDefault="00900D5B">
      <w:pPr>
        <w:ind w:firstLine="0"/>
        <w:jc w:val="center"/>
        <w:rPr>
          <w:sz w:val="18"/>
          <w:szCs w:val="18"/>
        </w:rPr>
      </w:pPr>
    </w:p>
    <w:p w14:paraId="211BB9AD" w14:textId="77777777" w:rsidR="00900D5B" w:rsidRDefault="00900D5B">
      <w:pPr>
        <w:jc w:val="center"/>
        <w:rPr>
          <w:sz w:val="18"/>
          <w:szCs w:val="18"/>
        </w:rPr>
      </w:pPr>
    </w:p>
    <w:p w14:paraId="3FAEDDB7" w14:textId="77777777" w:rsidR="00900D5B" w:rsidRDefault="00900D5B">
      <w:pPr>
        <w:jc w:val="center"/>
        <w:rPr>
          <w:sz w:val="18"/>
          <w:szCs w:val="18"/>
        </w:rPr>
      </w:pPr>
    </w:p>
    <w:p w14:paraId="327C9457" w14:textId="77777777" w:rsidR="00900D5B" w:rsidRPr="006A78F3" w:rsidRDefault="00C70F0F">
      <w:pPr>
        <w:ind w:firstLine="720"/>
        <w:rPr>
          <w:sz w:val="22"/>
        </w:rPr>
      </w:pPr>
      <w:bookmarkStart w:id="5" w:name="_4d34og8" w:colFirst="0" w:colLast="0"/>
      <w:bookmarkEnd w:id="5"/>
      <w:r w:rsidRPr="006A78F3">
        <w:rPr>
          <w:sz w:val="22"/>
        </w:rPr>
        <w:t>Es importante señalar algunos puntos referentes a los datos obtenidos a través de esta fuente (</w:t>
      </w:r>
      <w:r w:rsidRPr="006A78F3">
        <w:rPr>
          <w:b/>
          <w:sz w:val="22"/>
        </w:rPr>
        <w:t>SNVS</w:t>
      </w:r>
      <w:r w:rsidRPr="006A78F3">
        <w:rPr>
          <w:b/>
          <w:sz w:val="22"/>
          <w:vertAlign w:val="superscript"/>
        </w:rPr>
        <w:t>2.0</w:t>
      </w:r>
      <w:r w:rsidRPr="006A78F3">
        <w:rPr>
          <w:sz w:val="22"/>
        </w:rPr>
        <w:t xml:space="preserve">). Con respecto a la elaboración de este informe, se trabajó con los datos agrupados por establecimiento de acuerdo a los departamentos y comunas pertenecientes a la CMR, para ajustar el criterio de la localización de los eventos. Cabe aclarar que al utilizar los datos según establecimiento, y no por lugar de residencia, en el caso, por ejemplo de la Comuna 4, donde se encuentran establecimientos tales como el “Hospital de Pediatría Dr. J. </w:t>
      </w:r>
      <w:proofErr w:type="spellStart"/>
      <w:r w:rsidRPr="006A78F3">
        <w:rPr>
          <w:sz w:val="22"/>
        </w:rPr>
        <w:t>Garrahan</w:t>
      </w:r>
      <w:proofErr w:type="spellEnd"/>
      <w:r w:rsidRPr="006A78F3">
        <w:rPr>
          <w:sz w:val="22"/>
        </w:rPr>
        <w:t>”, el “Hospital Materno Infantil R. Sarda”, el “Hospital de Infecciosas F. Muñiz” entre otros, que son hospitales especializados y reciben a pacientes de todo el país, puede generar un aumento de las tasas de notificación de la Comuna 4 en particular, y de la CABA en general. Con la intención de disminuir este sesgo y aproximarnos a datos más representativos, se tuvieron en cuenta para el cálculo de los indicadores de las comunas y la CABA, solo las notificaciones de casos de pacientes residentes en CABA.</w:t>
      </w:r>
    </w:p>
    <w:p w14:paraId="7053A5CB" w14:textId="44E4919D" w:rsidR="00900D5B" w:rsidRPr="006A78F3" w:rsidRDefault="003622C8">
      <w:pPr>
        <w:ind w:firstLine="720"/>
        <w:rPr>
          <w:sz w:val="22"/>
          <w:highlight w:val="white"/>
        </w:rPr>
      </w:pPr>
      <w:bookmarkStart w:id="6" w:name="_17dp8vu" w:colFirst="0" w:colLast="0"/>
      <w:bookmarkEnd w:id="6"/>
      <w:r w:rsidRPr="006A78F3">
        <w:rPr>
          <w:sz w:val="22"/>
          <w:highlight w:val="white"/>
        </w:rPr>
        <w:t xml:space="preserve">Con la </w:t>
      </w:r>
      <w:r w:rsidR="003B7C7E" w:rsidRPr="006A78F3">
        <w:rPr>
          <w:sz w:val="22"/>
          <w:highlight w:val="white"/>
        </w:rPr>
        <w:t>intención</w:t>
      </w:r>
      <w:r w:rsidRPr="006A78F3">
        <w:rPr>
          <w:sz w:val="22"/>
          <w:highlight w:val="white"/>
        </w:rPr>
        <w:t xml:space="preserve"> de evitar la pérdida de notificaciones debida al retraso habitual en la notificación (calculándose un promedio de 4 semanas epidemiológicas), se realizó el análisis de</w:t>
      </w:r>
      <w:r w:rsidR="00C70F0F" w:rsidRPr="006A78F3">
        <w:rPr>
          <w:sz w:val="22"/>
        </w:rPr>
        <w:t xml:space="preserve">l </w:t>
      </w:r>
      <w:r w:rsidRPr="006A78F3">
        <w:rPr>
          <w:sz w:val="22"/>
        </w:rPr>
        <w:t xml:space="preserve">trimestre junio- agosto, que corresponde a las semanas epidemiológicas </w:t>
      </w:r>
      <w:r w:rsidR="008A02BB" w:rsidRPr="006A78F3">
        <w:rPr>
          <w:sz w:val="22"/>
          <w:highlight w:val="white"/>
        </w:rPr>
        <w:t xml:space="preserve">23 </w:t>
      </w:r>
      <w:r w:rsidR="00C70F0F" w:rsidRPr="006A78F3">
        <w:rPr>
          <w:sz w:val="22"/>
          <w:highlight w:val="white"/>
        </w:rPr>
        <w:t>(</w:t>
      </w:r>
      <w:r w:rsidR="008A02BB" w:rsidRPr="006A78F3">
        <w:rPr>
          <w:sz w:val="22"/>
          <w:highlight w:val="white"/>
        </w:rPr>
        <w:t xml:space="preserve">2 </w:t>
      </w:r>
      <w:r w:rsidR="00C70F0F" w:rsidRPr="006A78F3">
        <w:rPr>
          <w:sz w:val="22"/>
          <w:highlight w:val="white"/>
        </w:rPr>
        <w:t xml:space="preserve">de </w:t>
      </w:r>
      <w:r w:rsidR="008A02BB" w:rsidRPr="006A78F3">
        <w:rPr>
          <w:sz w:val="22"/>
          <w:highlight w:val="white"/>
        </w:rPr>
        <w:t xml:space="preserve">junio </w:t>
      </w:r>
      <w:r w:rsidR="00C70F0F" w:rsidRPr="006A78F3">
        <w:rPr>
          <w:sz w:val="22"/>
          <w:highlight w:val="white"/>
        </w:rPr>
        <w:t xml:space="preserve">de 2019) a </w:t>
      </w:r>
      <w:r w:rsidR="008A02BB" w:rsidRPr="006A78F3">
        <w:rPr>
          <w:sz w:val="22"/>
          <w:highlight w:val="white"/>
        </w:rPr>
        <w:t xml:space="preserve">35 </w:t>
      </w:r>
      <w:r w:rsidR="00C70F0F" w:rsidRPr="006A78F3">
        <w:rPr>
          <w:sz w:val="22"/>
          <w:highlight w:val="white"/>
        </w:rPr>
        <w:t>(</w:t>
      </w:r>
      <w:r w:rsidR="008A02BB" w:rsidRPr="006A78F3">
        <w:rPr>
          <w:sz w:val="22"/>
          <w:highlight w:val="white"/>
        </w:rPr>
        <w:t>31 de agosto de</w:t>
      </w:r>
      <w:r w:rsidR="00C70F0F" w:rsidRPr="006A78F3">
        <w:rPr>
          <w:sz w:val="22"/>
          <w:highlight w:val="white"/>
        </w:rPr>
        <w:t xml:space="preserve"> 2019). </w:t>
      </w:r>
    </w:p>
    <w:p w14:paraId="540C54EE" w14:textId="77777777" w:rsidR="00900D5B" w:rsidRDefault="00C70F0F">
      <w:pPr>
        <w:ind w:firstLine="720"/>
      </w:pPr>
      <w:bookmarkStart w:id="7" w:name="_7egjvink4fn7" w:colFirst="0" w:colLast="0"/>
      <w:bookmarkEnd w:id="7"/>
      <w:r w:rsidRPr="006A78F3">
        <w:rPr>
          <w:sz w:val="22"/>
        </w:rPr>
        <w:t>Como se ha mencionado, se sostiene el trabajo conjunto entre el Área de Vigilancia de la Secretaría de Salud del Ministerio de Salud y Desarrollo Social de la Nación y el equipo de epidemiología de ACUMAR con el fin de ajustar, sistematizar, capacitar y optimizar la información correspondiente a los eventos de notificación obligatoria en los municipios y comunas pertenecientes a la CMR</w:t>
      </w:r>
      <w:r>
        <w:t xml:space="preserve">. </w:t>
      </w:r>
    </w:p>
    <w:p w14:paraId="782315C9" w14:textId="77777777" w:rsidR="00900D5B" w:rsidRDefault="00900D5B">
      <w:bookmarkStart w:id="8" w:name="_26in1rg" w:colFirst="0" w:colLast="0"/>
      <w:bookmarkEnd w:id="8"/>
    </w:p>
    <w:p w14:paraId="7507AC5D" w14:textId="77777777" w:rsidR="00900D5B" w:rsidRPr="006A78F3" w:rsidRDefault="00C70F0F">
      <w:pPr>
        <w:rPr>
          <w:sz w:val="22"/>
        </w:rPr>
      </w:pPr>
      <w:bookmarkStart w:id="9" w:name="_lnxbz9" w:colFirst="0" w:colLast="0"/>
      <w:bookmarkEnd w:id="9"/>
      <w:r w:rsidRPr="006A78F3">
        <w:rPr>
          <w:b/>
          <w:sz w:val="22"/>
        </w:rPr>
        <w:t xml:space="preserve">Enfermedades Gastrointestinales (Diarreas)- </w:t>
      </w:r>
      <w:r w:rsidRPr="006A78F3">
        <w:rPr>
          <w:sz w:val="22"/>
        </w:rPr>
        <w:t>Notificación agrupada clínica</w:t>
      </w:r>
    </w:p>
    <w:p w14:paraId="426C5ECD" w14:textId="77777777" w:rsidR="00900D5B" w:rsidRDefault="00900D5B">
      <w:pPr>
        <w:rPr>
          <w:highlight w:val="white"/>
        </w:rPr>
      </w:pPr>
      <w:bookmarkStart w:id="10" w:name="_35nkun2" w:colFirst="0" w:colLast="0"/>
      <w:bookmarkEnd w:id="10"/>
    </w:p>
    <w:p w14:paraId="527DB16B" w14:textId="30F4D908" w:rsidR="00900D5B" w:rsidRPr="006A78F3" w:rsidRDefault="00C70F0F">
      <w:pPr>
        <w:ind w:firstLine="720"/>
        <w:rPr>
          <w:sz w:val="22"/>
          <w:highlight w:val="white"/>
        </w:rPr>
      </w:pPr>
      <w:r w:rsidRPr="006A78F3">
        <w:rPr>
          <w:sz w:val="22"/>
          <w:highlight w:val="white"/>
        </w:rPr>
        <w:t xml:space="preserve">Al realizar el análisis de la notificación clínica agrupada de las enfermedades </w:t>
      </w:r>
      <w:proofErr w:type="spellStart"/>
      <w:r w:rsidRPr="006A78F3">
        <w:rPr>
          <w:sz w:val="22"/>
          <w:highlight w:val="white"/>
        </w:rPr>
        <w:t>gastroentéricas</w:t>
      </w:r>
      <w:proofErr w:type="spellEnd"/>
      <w:r w:rsidRPr="006A78F3">
        <w:rPr>
          <w:sz w:val="22"/>
          <w:highlight w:val="white"/>
        </w:rPr>
        <w:t xml:space="preserve"> (diarreas) entre las SE </w:t>
      </w:r>
      <w:r w:rsidR="003622C8" w:rsidRPr="006A78F3">
        <w:rPr>
          <w:sz w:val="22"/>
          <w:highlight w:val="white"/>
        </w:rPr>
        <w:t>23 (2 de junio de 20</w:t>
      </w:r>
      <w:r w:rsidR="001628F3" w:rsidRPr="006A78F3">
        <w:rPr>
          <w:sz w:val="22"/>
          <w:highlight w:val="white"/>
        </w:rPr>
        <w:t>19) a 35 (31 de agosto de 2019)</w:t>
      </w:r>
      <w:r w:rsidRPr="006A78F3">
        <w:rPr>
          <w:sz w:val="22"/>
          <w:highlight w:val="white"/>
        </w:rPr>
        <w:t xml:space="preserve">, se observaron diferencias importantes en la tasa de notificación entre los distintos municipios de la CMR con valores entre 0 y </w:t>
      </w:r>
      <w:r w:rsidR="009E0CCE" w:rsidRPr="006A78F3">
        <w:rPr>
          <w:sz w:val="22"/>
          <w:highlight w:val="white"/>
        </w:rPr>
        <w:t>27,28</w:t>
      </w:r>
      <w:r w:rsidRPr="006A78F3">
        <w:rPr>
          <w:sz w:val="22"/>
          <w:highlight w:val="white"/>
        </w:rPr>
        <w:t xml:space="preserve"> c/10.000 habitantes.</w:t>
      </w:r>
    </w:p>
    <w:p w14:paraId="3B0C32A2" w14:textId="7FCAB608" w:rsidR="00900D5B" w:rsidRPr="006A78F3" w:rsidRDefault="00C70F0F">
      <w:pPr>
        <w:rPr>
          <w:sz w:val="22"/>
          <w:highlight w:val="white"/>
        </w:rPr>
      </w:pPr>
      <w:r w:rsidRPr="006A78F3">
        <w:rPr>
          <w:sz w:val="22"/>
          <w:highlight w:val="white"/>
        </w:rPr>
        <w:t>Los municipios con mayores tasas fueron: San Vicente (</w:t>
      </w:r>
      <w:r w:rsidR="009E0CCE" w:rsidRPr="006A78F3">
        <w:rPr>
          <w:sz w:val="22"/>
          <w:highlight w:val="white"/>
        </w:rPr>
        <w:t>27,28</w:t>
      </w:r>
      <w:r w:rsidRPr="006A78F3">
        <w:rPr>
          <w:sz w:val="22"/>
          <w:highlight w:val="white"/>
        </w:rPr>
        <w:t xml:space="preserve"> c/10.000 hab.), </w:t>
      </w:r>
      <w:r w:rsidR="009E0CCE" w:rsidRPr="006A78F3">
        <w:rPr>
          <w:sz w:val="22"/>
          <w:highlight w:val="white"/>
        </w:rPr>
        <w:t xml:space="preserve">la comuna 7 de CABA (26,09 c/10.000) y </w:t>
      </w:r>
      <w:r w:rsidRPr="006A78F3">
        <w:rPr>
          <w:sz w:val="22"/>
          <w:highlight w:val="white"/>
        </w:rPr>
        <w:t>Ezeiza (</w:t>
      </w:r>
      <w:r w:rsidR="009E0CCE" w:rsidRPr="006A78F3">
        <w:rPr>
          <w:sz w:val="22"/>
          <w:highlight w:val="white"/>
        </w:rPr>
        <w:t xml:space="preserve">25,76 </w:t>
      </w:r>
      <w:r w:rsidRPr="006A78F3">
        <w:rPr>
          <w:sz w:val="22"/>
          <w:highlight w:val="white"/>
        </w:rPr>
        <w:t>c/10.000 hab.</w:t>
      </w:r>
      <w:r w:rsidR="001628F3" w:rsidRPr="006A78F3">
        <w:rPr>
          <w:sz w:val="22"/>
          <w:highlight w:val="white"/>
        </w:rPr>
        <w:t xml:space="preserve">). </w:t>
      </w:r>
      <w:r w:rsidR="00E76BD8" w:rsidRPr="006A78F3">
        <w:rPr>
          <w:sz w:val="22"/>
          <w:highlight w:val="white"/>
        </w:rPr>
        <w:t>Llama la atención que el municipio de Gral. Las Heras no notificó ningún caso de diarrea en el periodo de estudio. Tabla</w:t>
      </w:r>
      <w:r w:rsidRPr="006A78F3">
        <w:rPr>
          <w:sz w:val="22"/>
          <w:highlight w:val="white"/>
        </w:rPr>
        <w:t xml:space="preserve"> 3</w:t>
      </w:r>
    </w:p>
    <w:p w14:paraId="5DFF45BE" w14:textId="4E988010" w:rsidR="00900D5B" w:rsidRPr="006A78F3" w:rsidRDefault="00C70F0F">
      <w:pPr>
        <w:rPr>
          <w:sz w:val="22"/>
          <w:highlight w:val="white"/>
        </w:rPr>
      </w:pPr>
      <w:r w:rsidRPr="006A78F3">
        <w:rPr>
          <w:sz w:val="22"/>
          <w:highlight w:val="white"/>
        </w:rPr>
        <w:lastRenderedPageBreak/>
        <w:t xml:space="preserve">Con respecto a la tasa de notificación de la CMR en su conjunto, entre las SE </w:t>
      </w:r>
      <w:r w:rsidR="009E0CCE" w:rsidRPr="006A78F3">
        <w:rPr>
          <w:sz w:val="22"/>
          <w:highlight w:val="white"/>
        </w:rPr>
        <w:t xml:space="preserve">23 </w:t>
      </w:r>
      <w:r w:rsidRPr="006A78F3">
        <w:rPr>
          <w:sz w:val="22"/>
          <w:highlight w:val="white"/>
        </w:rPr>
        <w:t xml:space="preserve">y la SE </w:t>
      </w:r>
      <w:r w:rsidR="009E0CCE" w:rsidRPr="006A78F3">
        <w:rPr>
          <w:sz w:val="22"/>
          <w:highlight w:val="white"/>
        </w:rPr>
        <w:t xml:space="preserve">35 </w:t>
      </w:r>
      <w:r w:rsidRPr="006A78F3">
        <w:rPr>
          <w:sz w:val="22"/>
          <w:highlight w:val="white"/>
        </w:rPr>
        <w:t xml:space="preserve">de 2019 fue de </w:t>
      </w:r>
      <w:r w:rsidR="009E0CCE" w:rsidRPr="006A78F3">
        <w:rPr>
          <w:sz w:val="22"/>
          <w:highlight w:val="white"/>
        </w:rPr>
        <w:t>8,78</w:t>
      </w:r>
      <w:r w:rsidRPr="006A78F3">
        <w:rPr>
          <w:sz w:val="22"/>
          <w:highlight w:val="white"/>
        </w:rPr>
        <w:t xml:space="preserve"> c/10.000 habitantes, inferior a la tasa de notificación de CABA (</w:t>
      </w:r>
      <w:r w:rsidR="009E0CCE" w:rsidRPr="006A78F3">
        <w:rPr>
          <w:sz w:val="22"/>
          <w:highlight w:val="white"/>
        </w:rPr>
        <w:t>11,94</w:t>
      </w:r>
      <w:r w:rsidRPr="006A78F3">
        <w:rPr>
          <w:sz w:val="22"/>
          <w:highlight w:val="white"/>
        </w:rPr>
        <w:t xml:space="preserve"> c/10.000), la tasa de prov. Buenos Aires (</w:t>
      </w:r>
      <w:r w:rsidR="009E0CCE" w:rsidRPr="006A78F3">
        <w:rPr>
          <w:sz w:val="22"/>
          <w:highlight w:val="white"/>
        </w:rPr>
        <w:t>14,35</w:t>
      </w:r>
      <w:r w:rsidRPr="006A78F3">
        <w:rPr>
          <w:sz w:val="22"/>
          <w:highlight w:val="white"/>
        </w:rPr>
        <w:t xml:space="preserve"> c/10.000 hab.) y de la tasa del total país que fue de </w:t>
      </w:r>
      <w:r w:rsidR="009E0CCE" w:rsidRPr="006A78F3">
        <w:rPr>
          <w:sz w:val="22"/>
          <w:highlight w:val="white"/>
        </w:rPr>
        <w:t>32,47</w:t>
      </w:r>
      <w:r w:rsidRPr="006A78F3">
        <w:rPr>
          <w:sz w:val="22"/>
          <w:highlight w:val="white"/>
        </w:rPr>
        <w:t xml:space="preserve"> c/10.000.Tabla 3</w:t>
      </w:r>
    </w:p>
    <w:p w14:paraId="273DAA4B" w14:textId="77777777" w:rsidR="00D01016" w:rsidRPr="006A78F3" w:rsidRDefault="00D01016">
      <w:pPr>
        <w:ind w:firstLine="720"/>
        <w:rPr>
          <w:b/>
          <w:sz w:val="22"/>
        </w:rPr>
      </w:pPr>
    </w:p>
    <w:p w14:paraId="20BA4BAD" w14:textId="3B007468" w:rsidR="00900D5B" w:rsidRPr="006A78F3" w:rsidRDefault="00C70F0F">
      <w:pPr>
        <w:ind w:firstLine="720"/>
        <w:rPr>
          <w:sz w:val="22"/>
        </w:rPr>
      </w:pPr>
      <w:r w:rsidRPr="006A78F3">
        <w:rPr>
          <w:b/>
          <w:sz w:val="22"/>
        </w:rPr>
        <w:t xml:space="preserve">Tabla 3: </w:t>
      </w:r>
      <w:r w:rsidRPr="006A78F3">
        <w:rPr>
          <w:sz w:val="22"/>
        </w:rPr>
        <w:t xml:space="preserve">Notificación Clínica agrupada de eventos Gastrointestinales (Diarreas) vigilados a partir del Sistema Nacional de Vigilancia 2.0. Casos y tasas de notificación c/10.000 habitantes. Municipios y Comunas que componen la CMR, CABA residentes, Prov. de Buenos Aires y Total país. </w:t>
      </w:r>
      <w:r w:rsidRPr="006A78F3">
        <w:rPr>
          <w:sz w:val="22"/>
          <w:highlight w:val="white"/>
        </w:rPr>
        <w:t xml:space="preserve">SE  </w:t>
      </w:r>
      <w:r w:rsidR="003622C8" w:rsidRPr="006A78F3">
        <w:rPr>
          <w:sz w:val="22"/>
        </w:rPr>
        <w:t>23 (2 de junio de 2019) a 35 (31 de agosto de 2019)</w:t>
      </w:r>
      <w:r w:rsidR="001628F3" w:rsidRPr="006A78F3">
        <w:rPr>
          <w:sz w:val="22"/>
        </w:rPr>
        <w:t>.</w:t>
      </w:r>
      <w:r w:rsidRPr="006A78F3">
        <w:rPr>
          <w:sz w:val="22"/>
        </w:rPr>
        <w:t xml:space="preserve"> Año 2019. </w:t>
      </w:r>
    </w:p>
    <w:p w14:paraId="5B70943B" w14:textId="167256C8" w:rsidR="003622C8" w:rsidRDefault="003622C8" w:rsidP="00786F8C">
      <w:pPr>
        <w:ind w:firstLine="720"/>
        <w:jc w:val="center"/>
      </w:pPr>
      <w:r w:rsidRPr="003622C8">
        <w:rPr>
          <w:noProof/>
          <w:lang w:val="es-ES"/>
        </w:rPr>
        <w:drawing>
          <wp:inline distT="0" distB="0" distL="0" distR="0" wp14:anchorId="49A82DA8" wp14:editId="5188043B">
            <wp:extent cx="2805738" cy="47434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9285" cy="4749447"/>
                    </a:xfrm>
                    <a:prstGeom prst="rect">
                      <a:avLst/>
                    </a:prstGeom>
                    <a:noFill/>
                    <a:ln>
                      <a:noFill/>
                    </a:ln>
                  </pic:spPr>
                </pic:pic>
              </a:graphicData>
            </a:graphic>
          </wp:inline>
        </w:drawing>
      </w:r>
    </w:p>
    <w:p w14:paraId="25F5F9DA" w14:textId="7511A62D" w:rsidR="00900D5B" w:rsidRDefault="00900D5B">
      <w:pPr>
        <w:ind w:firstLine="0"/>
        <w:jc w:val="center"/>
      </w:pPr>
    </w:p>
    <w:p w14:paraId="687ED70A" w14:textId="77777777" w:rsidR="00900D5B" w:rsidRDefault="00C70F0F">
      <w:pPr>
        <w:jc w:val="center"/>
      </w:pPr>
      <w:r>
        <w:rPr>
          <w:sz w:val="18"/>
          <w:szCs w:val="18"/>
        </w:rPr>
        <w:t xml:space="preserve">Fuente: Elaboración propia en base a datos del SNVS </w:t>
      </w:r>
      <w:r>
        <w:rPr>
          <w:sz w:val="18"/>
          <w:szCs w:val="18"/>
          <w:vertAlign w:val="superscript"/>
        </w:rPr>
        <w:t>2.0</w:t>
      </w:r>
      <w:r>
        <w:rPr>
          <w:sz w:val="18"/>
          <w:szCs w:val="18"/>
        </w:rPr>
        <w:t>.</w:t>
      </w:r>
    </w:p>
    <w:p w14:paraId="650C9956" w14:textId="77777777" w:rsidR="00900D5B" w:rsidRDefault="00900D5B">
      <w:pPr>
        <w:ind w:firstLine="720"/>
      </w:pPr>
    </w:p>
    <w:p w14:paraId="019940B2" w14:textId="77777777" w:rsidR="001628F3" w:rsidRDefault="001628F3">
      <w:pPr>
        <w:spacing w:line="276" w:lineRule="auto"/>
        <w:ind w:left="420" w:firstLine="0"/>
        <w:rPr>
          <w:b/>
        </w:rPr>
      </w:pPr>
    </w:p>
    <w:p w14:paraId="2F635800" w14:textId="592144BD" w:rsidR="00900D5B" w:rsidRPr="006A78F3" w:rsidRDefault="00C70F0F">
      <w:pPr>
        <w:spacing w:line="276" w:lineRule="auto"/>
        <w:ind w:left="420" w:firstLine="0"/>
        <w:rPr>
          <w:sz w:val="22"/>
        </w:rPr>
      </w:pPr>
      <w:r w:rsidRPr="006A78F3">
        <w:rPr>
          <w:b/>
          <w:sz w:val="22"/>
        </w:rPr>
        <w:t>ENFERMEDADES RESPIRATORIAS (Bronquiolitis &lt;2 años, Enf</w:t>
      </w:r>
      <w:r w:rsidR="005E55AE" w:rsidRPr="006A78F3">
        <w:rPr>
          <w:b/>
          <w:sz w:val="22"/>
        </w:rPr>
        <w:t>ermedad t</w:t>
      </w:r>
      <w:r w:rsidRPr="006A78F3">
        <w:rPr>
          <w:b/>
          <w:sz w:val="22"/>
        </w:rPr>
        <w:t xml:space="preserve">ipo </w:t>
      </w:r>
      <w:r w:rsidRPr="006A78F3">
        <w:rPr>
          <w:b/>
          <w:sz w:val="22"/>
        </w:rPr>
        <w:lastRenderedPageBreak/>
        <w:t>Influenza, Inf</w:t>
      </w:r>
      <w:r w:rsidR="005E55AE" w:rsidRPr="006A78F3">
        <w:rPr>
          <w:b/>
          <w:sz w:val="22"/>
        </w:rPr>
        <w:t>ecciones R</w:t>
      </w:r>
      <w:r w:rsidRPr="006A78F3">
        <w:rPr>
          <w:b/>
          <w:sz w:val="22"/>
        </w:rPr>
        <w:t>espiratoria</w:t>
      </w:r>
      <w:r w:rsidR="005E55AE" w:rsidRPr="006A78F3">
        <w:rPr>
          <w:b/>
          <w:sz w:val="22"/>
        </w:rPr>
        <w:t>s</w:t>
      </w:r>
      <w:r w:rsidRPr="006A78F3">
        <w:rPr>
          <w:b/>
          <w:sz w:val="22"/>
        </w:rPr>
        <w:t xml:space="preserve"> Aguda</w:t>
      </w:r>
      <w:r w:rsidR="005E55AE" w:rsidRPr="006A78F3">
        <w:rPr>
          <w:b/>
          <w:sz w:val="22"/>
        </w:rPr>
        <w:t>s</w:t>
      </w:r>
      <w:r w:rsidRPr="006A78F3">
        <w:rPr>
          <w:b/>
          <w:sz w:val="22"/>
        </w:rPr>
        <w:t xml:space="preserve"> Grave</w:t>
      </w:r>
      <w:r w:rsidR="005E55AE" w:rsidRPr="006A78F3">
        <w:rPr>
          <w:b/>
          <w:sz w:val="22"/>
        </w:rPr>
        <w:t>s</w:t>
      </w:r>
      <w:r w:rsidRPr="006A78F3">
        <w:rPr>
          <w:b/>
          <w:sz w:val="22"/>
        </w:rPr>
        <w:t>, Neumonía</w:t>
      </w:r>
      <w:r w:rsidR="005E55AE" w:rsidRPr="006A78F3">
        <w:rPr>
          <w:b/>
          <w:sz w:val="22"/>
        </w:rPr>
        <w:t>s</w:t>
      </w:r>
      <w:r w:rsidRPr="006A78F3">
        <w:rPr>
          <w:b/>
          <w:sz w:val="22"/>
        </w:rPr>
        <w:t xml:space="preserve">) </w:t>
      </w:r>
      <w:r w:rsidRPr="006A78F3">
        <w:rPr>
          <w:sz w:val="22"/>
        </w:rPr>
        <w:t xml:space="preserve">Notificación agrupada clínica </w:t>
      </w:r>
    </w:p>
    <w:p w14:paraId="1133D716" w14:textId="77777777" w:rsidR="00900D5B" w:rsidRPr="006A78F3" w:rsidRDefault="00900D5B">
      <w:pPr>
        <w:spacing w:line="276" w:lineRule="auto"/>
        <w:ind w:left="420" w:firstLine="0"/>
        <w:rPr>
          <w:sz w:val="22"/>
        </w:rPr>
      </w:pPr>
    </w:p>
    <w:p w14:paraId="0CCF2DBA" w14:textId="79AC7767" w:rsidR="00900D5B" w:rsidRPr="006A78F3" w:rsidRDefault="00C70F0F">
      <w:pPr>
        <w:rPr>
          <w:sz w:val="22"/>
          <w:highlight w:val="white"/>
        </w:rPr>
      </w:pPr>
      <w:r w:rsidRPr="006A78F3">
        <w:rPr>
          <w:sz w:val="22"/>
          <w:highlight w:val="white"/>
        </w:rPr>
        <w:t xml:space="preserve">Analizando la notificación clínica agrupada de las enfermedades respiratorias entre la SE </w:t>
      </w:r>
      <w:r w:rsidR="009E0CCE" w:rsidRPr="006A78F3">
        <w:rPr>
          <w:sz w:val="22"/>
          <w:highlight w:val="white"/>
        </w:rPr>
        <w:t xml:space="preserve">23 </w:t>
      </w:r>
      <w:r w:rsidRPr="006A78F3">
        <w:rPr>
          <w:sz w:val="22"/>
          <w:highlight w:val="white"/>
        </w:rPr>
        <w:t xml:space="preserve">y la </w:t>
      </w:r>
      <w:r w:rsidR="009E0CCE" w:rsidRPr="006A78F3">
        <w:rPr>
          <w:sz w:val="22"/>
          <w:highlight w:val="white"/>
        </w:rPr>
        <w:t xml:space="preserve">35 </w:t>
      </w:r>
      <w:r w:rsidRPr="006A78F3">
        <w:rPr>
          <w:sz w:val="22"/>
          <w:highlight w:val="white"/>
        </w:rPr>
        <w:t xml:space="preserve">de 2019, </w:t>
      </w:r>
      <w:r w:rsidR="001628F3" w:rsidRPr="006A78F3">
        <w:rPr>
          <w:sz w:val="22"/>
          <w:highlight w:val="white"/>
        </w:rPr>
        <w:t>en el caso de</w:t>
      </w:r>
      <w:r w:rsidRPr="006A78F3">
        <w:rPr>
          <w:sz w:val="22"/>
          <w:highlight w:val="white"/>
        </w:rPr>
        <w:t xml:space="preserve"> la notificación de </w:t>
      </w:r>
      <w:r w:rsidRPr="006A78F3">
        <w:rPr>
          <w:b/>
          <w:i/>
          <w:sz w:val="22"/>
          <w:highlight w:val="white"/>
        </w:rPr>
        <w:t>Enfermedad Tipo Influenza (ETI)</w:t>
      </w:r>
      <w:r w:rsidRPr="006A78F3">
        <w:rPr>
          <w:sz w:val="22"/>
          <w:highlight w:val="white"/>
        </w:rPr>
        <w:t>, la tasa de notificación de la CMR (</w:t>
      </w:r>
      <w:r w:rsidR="009E0CCE" w:rsidRPr="006A78F3">
        <w:rPr>
          <w:sz w:val="22"/>
          <w:highlight w:val="white"/>
        </w:rPr>
        <w:t>28,77</w:t>
      </w:r>
      <w:r w:rsidRPr="006A78F3">
        <w:rPr>
          <w:sz w:val="22"/>
          <w:highlight w:val="white"/>
        </w:rPr>
        <w:t xml:space="preserve"> c/10.000 hab.) fue </w:t>
      </w:r>
      <w:r w:rsidR="009E0CCE" w:rsidRPr="006A78F3">
        <w:rPr>
          <w:sz w:val="22"/>
          <w:highlight w:val="white"/>
        </w:rPr>
        <w:t xml:space="preserve">similar </w:t>
      </w:r>
      <w:r w:rsidRPr="006A78F3">
        <w:rPr>
          <w:sz w:val="22"/>
          <w:highlight w:val="white"/>
        </w:rPr>
        <w:t>a la tasa de CABA (</w:t>
      </w:r>
      <w:r w:rsidR="009E0CCE" w:rsidRPr="006A78F3">
        <w:rPr>
          <w:sz w:val="22"/>
          <w:highlight w:val="white"/>
        </w:rPr>
        <w:t>28</w:t>
      </w:r>
      <w:r w:rsidRPr="006A78F3">
        <w:rPr>
          <w:sz w:val="22"/>
          <w:highlight w:val="white"/>
        </w:rPr>
        <w:t>,89 c/10.000 hab.)</w:t>
      </w:r>
      <w:r w:rsidR="001628F3" w:rsidRPr="006A78F3">
        <w:rPr>
          <w:sz w:val="22"/>
          <w:highlight w:val="white"/>
        </w:rPr>
        <w:t>,</w:t>
      </w:r>
      <w:r w:rsidR="009E0CCE" w:rsidRPr="006A78F3">
        <w:rPr>
          <w:sz w:val="22"/>
          <w:highlight w:val="white"/>
        </w:rPr>
        <w:t xml:space="preserve"> pero inferior a </w:t>
      </w:r>
      <w:r w:rsidRPr="006A78F3">
        <w:rPr>
          <w:sz w:val="22"/>
          <w:highlight w:val="white"/>
        </w:rPr>
        <w:t>la de prov. de Buenos Aires (</w:t>
      </w:r>
      <w:r w:rsidR="009E0CCE" w:rsidRPr="006A78F3">
        <w:rPr>
          <w:sz w:val="22"/>
          <w:highlight w:val="white"/>
        </w:rPr>
        <w:t>38,45</w:t>
      </w:r>
      <w:r w:rsidRPr="006A78F3">
        <w:rPr>
          <w:sz w:val="22"/>
          <w:highlight w:val="white"/>
        </w:rPr>
        <w:t xml:space="preserve"> c/10.000 hab.) y a la de total país (</w:t>
      </w:r>
      <w:r w:rsidR="009E0CCE" w:rsidRPr="006A78F3">
        <w:rPr>
          <w:sz w:val="22"/>
          <w:highlight w:val="white"/>
        </w:rPr>
        <w:t>66,55</w:t>
      </w:r>
      <w:r w:rsidRPr="006A78F3">
        <w:rPr>
          <w:sz w:val="22"/>
          <w:highlight w:val="white"/>
        </w:rPr>
        <w:t xml:space="preserve"> c/10.000 hab.). Las jurisdicciones de la CMR con tasas más elevadas fueron Gral. Las Heras (</w:t>
      </w:r>
      <w:r w:rsidR="0056385F" w:rsidRPr="006A78F3">
        <w:rPr>
          <w:sz w:val="22"/>
          <w:highlight w:val="white"/>
        </w:rPr>
        <w:t>371,90</w:t>
      </w:r>
      <w:r w:rsidRPr="006A78F3">
        <w:rPr>
          <w:sz w:val="22"/>
          <w:highlight w:val="white"/>
        </w:rPr>
        <w:t xml:space="preserve"> c/10.000 hab.) y </w:t>
      </w:r>
      <w:r w:rsidR="009E0CCE" w:rsidRPr="006A78F3">
        <w:rPr>
          <w:sz w:val="22"/>
          <w:highlight w:val="white"/>
        </w:rPr>
        <w:t xml:space="preserve">la comuna 7 de </w:t>
      </w:r>
      <w:r w:rsidR="001628F3" w:rsidRPr="006A78F3">
        <w:rPr>
          <w:sz w:val="22"/>
          <w:highlight w:val="white"/>
        </w:rPr>
        <w:t>CABA (</w:t>
      </w:r>
      <w:r w:rsidR="0056385F" w:rsidRPr="006A78F3">
        <w:rPr>
          <w:sz w:val="22"/>
          <w:highlight w:val="white"/>
        </w:rPr>
        <w:t>120,17</w:t>
      </w:r>
      <w:r w:rsidRPr="006A78F3">
        <w:rPr>
          <w:sz w:val="22"/>
          <w:highlight w:val="white"/>
        </w:rPr>
        <w:t xml:space="preserve"> c/10.000 hab.). Tabla 4</w:t>
      </w:r>
    </w:p>
    <w:p w14:paraId="0319FE08" w14:textId="25FACC44" w:rsidR="00900D5B" w:rsidRPr="006A78F3" w:rsidRDefault="001628F3">
      <w:pPr>
        <w:ind w:firstLine="720"/>
        <w:rPr>
          <w:sz w:val="22"/>
          <w:highlight w:val="white"/>
        </w:rPr>
      </w:pPr>
      <w:r w:rsidRPr="006A78F3">
        <w:rPr>
          <w:sz w:val="22"/>
          <w:highlight w:val="white"/>
        </w:rPr>
        <w:t>Con respecto a</w:t>
      </w:r>
      <w:r w:rsidR="00C70F0F" w:rsidRPr="006A78F3">
        <w:rPr>
          <w:sz w:val="22"/>
          <w:highlight w:val="white"/>
        </w:rPr>
        <w:t xml:space="preserve"> la notificación clínica agrupada de </w:t>
      </w:r>
      <w:r w:rsidR="00C70F0F" w:rsidRPr="006A78F3">
        <w:rPr>
          <w:b/>
          <w:i/>
          <w:sz w:val="22"/>
          <w:highlight w:val="white"/>
        </w:rPr>
        <w:t>Bronquiolitis en menores de 2 años</w:t>
      </w:r>
      <w:r w:rsidR="00C70F0F" w:rsidRPr="006A78F3">
        <w:rPr>
          <w:sz w:val="22"/>
          <w:highlight w:val="white"/>
        </w:rPr>
        <w:t xml:space="preserve"> entre la SE </w:t>
      </w:r>
      <w:r w:rsidR="0056385F" w:rsidRPr="006A78F3">
        <w:rPr>
          <w:sz w:val="22"/>
          <w:highlight w:val="white"/>
        </w:rPr>
        <w:t xml:space="preserve">23 </w:t>
      </w:r>
      <w:r w:rsidR="00C70F0F" w:rsidRPr="006A78F3">
        <w:rPr>
          <w:sz w:val="22"/>
          <w:highlight w:val="white"/>
        </w:rPr>
        <w:t xml:space="preserve">y la </w:t>
      </w:r>
      <w:r w:rsidR="0056385F" w:rsidRPr="006A78F3">
        <w:rPr>
          <w:sz w:val="22"/>
          <w:highlight w:val="white"/>
        </w:rPr>
        <w:t xml:space="preserve">35 </w:t>
      </w:r>
      <w:r w:rsidR="00C70F0F" w:rsidRPr="006A78F3">
        <w:rPr>
          <w:sz w:val="22"/>
          <w:highlight w:val="white"/>
        </w:rPr>
        <w:t xml:space="preserve">de 2019, la tasa de la CMR fue de </w:t>
      </w:r>
      <w:r w:rsidR="0056385F" w:rsidRPr="006A78F3">
        <w:rPr>
          <w:sz w:val="22"/>
          <w:highlight w:val="white"/>
        </w:rPr>
        <w:t>586,60</w:t>
      </w:r>
      <w:r w:rsidR="00C70F0F" w:rsidRPr="006A78F3">
        <w:rPr>
          <w:sz w:val="22"/>
          <w:highlight w:val="white"/>
        </w:rPr>
        <w:t xml:space="preserve"> c/10.000 hab.&lt; 2 años, </w:t>
      </w:r>
      <w:r w:rsidR="0056385F" w:rsidRPr="006A78F3">
        <w:rPr>
          <w:sz w:val="22"/>
          <w:highlight w:val="white"/>
        </w:rPr>
        <w:t xml:space="preserve">superior </w:t>
      </w:r>
      <w:r w:rsidR="00C70F0F" w:rsidRPr="006A78F3">
        <w:rPr>
          <w:sz w:val="22"/>
          <w:highlight w:val="white"/>
        </w:rPr>
        <w:t>a la tasa de CABA (</w:t>
      </w:r>
      <w:r w:rsidR="0056385F" w:rsidRPr="006A78F3">
        <w:rPr>
          <w:sz w:val="22"/>
          <w:highlight w:val="white"/>
        </w:rPr>
        <w:t xml:space="preserve">486,01 </w:t>
      </w:r>
      <w:r w:rsidR="00C70F0F" w:rsidRPr="006A78F3">
        <w:rPr>
          <w:sz w:val="22"/>
          <w:highlight w:val="white"/>
        </w:rPr>
        <w:t>c/10.000 hab.&lt; 2 años)</w:t>
      </w:r>
      <w:r w:rsidR="0056385F" w:rsidRPr="006A78F3">
        <w:rPr>
          <w:sz w:val="22"/>
          <w:highlight w:val="white"/>
        </w:rPr>
        <w:t xml:space="preserve">, pero inferior </w:t>
      </w:r>
      <w:r w:rsidRPr="006A78F3">
        <w:rPr>
          <w:sz w:val="22"/>
          <w:highlight w:val="white"/>
        </w:rPr>
        <w:t>a la</w:t>
      </w:r>
      <w:r w:rsidR="0056385F" w:rsidRPr="006A78F3">
        <w:rPr>
          <w:sz w:val="22"/>
          <w:highlight w:val="white"/>
        </w:rPr>
        <w:t xml:space="preserve"> </w:t>
      </w:r>
      <w:r w:rsidR="00253A02" w:rsidRPr="006A78F3">
        <w:rPr>
          <w:sz w:val="22"/>
          <w:highlight w:val="white"/>
        </w:rPr>
        <w:t>de prov. de Buenos Aires</w:t>
      </w:r>
      <w:r w:rsidR="00C70F0F" w:rsidRPr="006A78F3">
        <w:rPr>
          <w:sz w:val="22"/>
          <w:highlight w:val="white"/>
        </w:rPr>
        <w:t xml:space="preserve"> (</w:t>
      </w:r>
      <w:r w:rsidR="0056385F" w:rsidRPr="006A78F3">
        <w:rPr>
          <w:sz w:val="22"/>
          <w:highlight w:val="white"/>
        </w:rPr>
        <w:t>637,</w:t>
      </w:r>
      <w:r w:rsidRPr="006A78F3">
        <w:rPr>
          <w:sz w:val="22"/>
          <w:highlight w:val="white"/>
        </w:rPr>
        <w:t>52 c</w:t>
      </w:r>
      <w:r w:rsidR="00C70F0F" w:rsidRPr="006A78F3">
        <w:rPr>
          <w:sz w:val="22"/>
          <w:highlight w:val="white"/>
        </w:rPr>
        <w:t>/10.000 hab.&lt; 2 años)</w:t>
      </w:r>
      <w:r w:rsidRPr="006A78F3">
        <w:rPr>
          <w:sz w:val="22"/>
          <w:highlight w:val="white"/>
        </w:rPr>
        <w:t xml:space="preserve"> </w:t>
      </w:r>
      <w:r w:rsidR="0056385F" w:rsidRPr="006A78F3">
        <w:rPr>
          <w:sz w:val="22"/>
          <w:highlight w:val="white"/>
        </w:rPr>
        <w:t xml:space="preserve">y </w:t>
      </w:r>
      <w:r w:rsidR="00253A02" w:rsidRPr="006A78F3">
        <w:rPr>
          <w:sz w:val="22"/>
          <w:highlight w:val="white"/>
        </w:rPr>
        <w:t>del total país</w:t>
      </w:r>
      <w:r w:rsidR="00C70F0F" w:rsidRPr="006A78F3">
        <w:rPr>
          <w:sz w:val="22"/>
          <w:highlight w:val="white"/>
        </w:rPr>
        <w:t xml:space="preserve"> (</w:t>
      </w:r>
      <w:r w:rsidR="0056385F" w:rsidRPr="006A78F3">
        <w:rPr>
          <w:sz w:val="22"/>
          <w:highlight w:val="white"/>
        </w:rPr>
        <w:t>739,52</w:t>
      </w:r>
      <w:r w:rsidR="00C70F0F" w:rsidRPr="006A78F3">
        <w:rPr>
          <w:sz w:val="22"/>
          <w:highlight w:val="white"/>
        </w:rPr>
        <w:t xml:space="preserve"> c/10.000 hab.&lt; 2 años). Las jurisdicciones de la CMR con mayores tasas de notificación fueron la Comuna 7 (</w:t>
      </w:r>
      <w:r w:rsidR="0056385F" w:rsidRPr="006A78F3">
        <w:rPr>
          <w:sz w:val="22"/>
          <w:highlight w:val="white"/>
        </w:rPr>
        <w:t>3138,69</w:t>
      </w:r>
      <w:r w:rsidR="00C70F0F" w:rsidRPr="006A78F3">
        <w:rPr>
          <w:sz w:val="22"/>
          <w:highlight w:val="white"/>
        </w:rPr>
        <w:t xml:space="preserve"> c/10.000 hab.&lt; 2 </w:t>
      </w:r>
      <w:r w:rsidR="00253A02" w:rsidRPr="006A78F3">
        <w:rPr>
          <w:sz w:val="22"/>
          <w:highlight w:val="white"/>
        </w:rPr>
        <w:t>años) y</w:t>
      </w:r>
      <w:r w:rsidR="00C70F0F" w:rsidRPr="006A78F3">
        <w:rPr>
          <w:sz w:val="22"/>
          <w:highlight w:val="white"/>
        </w:rPr>
        <w:t xml:space="preserve"> </w:t>
      </w:r>
      <w:r w:rsidR="0056385F" w:rsidRPr="006A78F3">
        <w:rPr>
          <w:sz w:val="22"/>
          <w:highlight w:val="white"/>
        </w:rPr>
        <w:t>Ezeiza</w:t>
      </w:r>
      <w:r w:rsidR="00C70F0F" w:rsidRPr="006A78F3">
        <w:rPr>
          <w:sz w:val="22"/>
          <w:highlight w:val="white"/>
        </w:rPr>
        <w:t xml:space="preserve"> (</w:t>
      </w:r>
      <w:r w:rsidR="0056385F" w:rsidRPr="006A78F3">
        <w:rPr>
          <w:sz w:val="22"/>
          <w:highlight w:val="white"/>
        </w:rPr>
        <w:t>1429,64</w:t>
      </w:r>
      <w:r w:rsidR="00C70F0F" w:rsidRPr="006A78F3">
        <w:rPr>
          <w:sz w:val="22"/>
          <w:highlight w:val="white"/>
        </w:rPr>
        <w:t xml:space="preserve"> c/10.000 hab.&lt; 2 años). Tabla 4</w:t>
      </w:r>
    </w:p>
    <w:p w14:paraId="17333AFF" w14:textId="3CE669DA" w:rsidR="00900D5B" w:rsidRPr="006A78F3" w:rsidRDefault="00C70F0F">
      <w:pPr>
        <w:ind w:firstLine="720"/>
        <w:rPr>
          <w:sz w:val="22"/>
          <w:highlight w:val="white"/>
        </w:rPr>
      </w:pPr>
      <w:r w:rsidRPr="006A78F3">
        <w:rPr>
          <w:sz w:val="22"/>
          <w:highlight w:val="white"/>
        </w:rPr>
        <w:t xml:space="preserve">Con respecto a las </w:t>
      </w:r>
      <w:r w:rsidRPr="006A78F3">
        <w:rPr>
          <w:b/>
          <w:i/>
          <w:sz w:val="22"/>
          <w:highlight w:val="white"/>
        </w:rPr>
        <w:t>infecciones respiratorias agudas graves</w:t>
      </w:r>
      <w:r w:rsidRPr="006A78F3">
        <w:rPr>
          <w:sz w:val="22"/>
          <w:highlight w:val="white"/>
        </w:rPr>
        <w:t>, no todos los municipios y comunas de la CMR notificaron casos en el periodo analizado. De los municipios que notificaron, Morón registró la tasa más elevada (</w:t>
      </w:r>
      <w:r w:rsidR="0056385F" w:rsidRPr="006A78F3">
        <w:rPr>
          <w:sz w:val="22"/>
          <w:highlight w:val="white"/>
        </w:rPr>
        <w:t>36,44</w:t>
      </w:r>
      <w:r w:rsidRPr="006A78F3">
        <w:rPr>
          <w:sz w:val="22"/>
          <w:highlight w:val="white"/>
        </w:rPr>
        <w:t xml:space="preserve"> c/10.000 hab.), superando ampliamente la tasa de la CMR en su conjunto de </w:t>
      </w:r>
      <w:r w:rsidR="0056385F" w:rsidRPr="006A78F3">
        <w:rPr>
          <w:sz w:val="22"/>
          <w:highlight w:val="white"/>
        </w:rPr>
        <w:t>4,31</w:t>
      </w:r>
      <w:r w:rsidRPr="006A78F3">
        <w:rPr>
          <w:sz w:val="22"/>
          <w:highlight w:val="white"/>
        </w:rPr>
        <w:t xml:space="preserve"> c/10.000 hab. A su vez la tasa de la CMR fue </w:t>
      </w:r>
      <w:r w:rsidR="0056385F" w:rsidRPr="006A78F3">
        <w:rPr>
          <w:sz w:val="22"/>
          <w:highlight w:val="white"/>
        </w:rPr>
        <w:t xml:space="preserve">superior </w:t>
      </w:r>
      <w:r w:rsidRPr="006A78F3">
        <w:rPr>
          <w:sz w:val="22"/>
          <w:highlight w:val="white"/>
        </w:rPr>
        <w:t>a la tasa de CABA (</w:t>
      </w:r>
      <w:r w:rsidR="0056385F" w:rsidRPr="006A78F3">
        <w:rPr>
          <w:sz w:val="22"/>
          <w:highlight w:val="white"/>
        </w:rPr>
        <w:t>3,38</w:t>
      </w:r>
      <w:r w:rsidRPr="006A78F3">
        <w:rPr>
          <w:sz w:val="22"/>
          <w:highlight w:val="white"/>
        </w:rPr>
        <w:t xml:space="preserve"> c/10.000 hab.) </w:t>
      </w:r>
      <w:r w:rsidR="0056385F" w:rsidRPr="006A78F3">
        <w:rPr>
          <w:sz w:val="22"/>
          <w:highlight w:val="white"/>
        </w:rPr>
        <w:t>y</w:t>
      </w:r>
      <w:r w:rsidRPr="006A78F3">
        <w:rPr>
          <w:sz w:val="22"/>
          <w:highlight w:val="white"/>
        </w:rPr>
        <w:t xml:space="preserve"> a la tasa de prov. de Buenos Aires (</w:t>
      </w:r>
      <w:r w:rsidR="0056385F" w:rsidRPr="006A78F3">
        <w:rPr>
          <w:sz w:val="22"/>
          <w:highlight w:val="white"/>
        </w:rPr>
        <w:t>3,71</w:t>
      </w:r>
      <w:r w:rsidRPr="006A78F3">
        <w:rPr>
          <w:sz w:val="22"/>
          <w:highlight w:val="white"/>
        </w:rPr>
        <w:t xml:space="preserve"> c/10.000 hab.), siendo todas inferiores a la tasa de notificación del total país (</w:t>
      </w:r>
      <w:r w:rsidR="0056385F" w:rsidRPr="006A78F3">
        <w:rPr>
          <w:sz w:val="22"/>
          <w:highlight w:val="white"/>
        </w:rPr>
        <w:t>7,12</w:t>
      </w:r>
      <w:r w:rsidRPr="006A78F3">
        <w:rPr>
          <w:sz w:val="22"/>
          <w:highlight w:val="white"/>
        </w:rPr>
        <w:t xml:space="preserve"> c/10.000 hab.</w:t>
      </w:r>
      <w:r w:rsidR="00253A02" w:rsidRPr="006A78F3">
        <w:rPr>
          <w:sz w:val="22"/>
          <w:highlight w:val="white"/>
        </w:rPr>
        <w:t>). Tabla</w:t>
      </w:r>
      <w:r w:rsidRPr="006A78F3">
        <w:rPr>
          <w:sz w:val="22"/>
          <w:highlight w:val="white"/>
        </w:rPr>
        <w:t xml:space="preserve"> 4</w:t>
      </w:r>
    </w:p>
    <w:p w14:paraId="6E779C8C" w14:textId="63E3CFA3" w:rsidR="00E76BD8" w:rsidRPr="006A78F3" w:rsidRDefault="00E76BD8">
      <w:pPr>
        <w:ind w:firstLine="720"/>
        <w:rPr>
          <w:sz w:val="22"/>
          <w:highlight w:val="white"/>
        </w:rPr>
      </w:pPr>
      <w:r w:rsidRPr="006A78F3">
        <w:rPr>
          <w:sz w:val="22"/>
        </w:rPr>
        <w:t>Llama la atención que los municipios de Almirante Brown, Cañuelas, Merlo y las comunas 4 y 9</w:t>
      </w:r>
      <w:r w:rsidR="000F5481" w:rsidRPr="006A78F3">
        <w:rPr>
          <w:sz w:val="22"/>
        </w:rPr>
        <w:t xml:space="preserve"> de CABA</w:t>
      </w:r>
      <w:r w:rsidRPr="006A78F3">
        <w:rPr>
          <w:sz w:val="22"/>
        </w:rPr>
        <w:t xml:space="preserve">, a pesar de que registran notificaciones </w:t>
      </w:r>
      <w:r w:rsidR="00914BBE" w:rsidRPr="006A78F3">
        <w:rPr>
          <w:sz w:val="22"/>
        </w:rPr>
        <w:t>Infecciones Respiratorias Virales</w:t>
      </w:r>
      <w:r w:rsidR="000F5481" w:rsidRPr="006A78F3">
        <w:rPr>
          <w:sz w:val="22"/>
        </w:rPr>
        <w:t xml:space="preserve"> en pacientes i</w:t>
      </w:r>
      <w:r w:rsidR="00914BBE" w:rsidRPr="006A78F3">
        <w:rPr>
          <w:sz w:val="22"/>
        </w:rPr>
        <w:t>nternados (Tabla 2) en el periodo de estudio, no</w:t>
      </w:r>
      <w:r w:rsidRPr="006A78F3">
        <w:rPr>
          <w:sz w:val="22"/>
        </w:rPr>
        <w:t xml:space="preserve"> registran notificaciones clínicas agrupadas de Infecciones Respiratorias Agudas G</w:t>
      </w:r>
      <w:r w:rsidR="00914BBE" w:rsidRPr="006A78F3">
        <w:rPr>
          <w:sz w:val="22"/>
        </w:rPr>
        <w:t xml:space="preserve">raves en el mismo periodo. </w:t>
      </w:r>
      <w:r w:rsidRPr="006A78F3">
        <w:rPr>
          <w:sz w:val="22"/>
        </w:rPr>
        <w:t xml:space="preserve"> </w:t>
      </w:r>
    </w:p>
    <w:p w14:paraId="236B040F" w14:textId="2BDE2ED5" w:rsidR="00900D5B" w:rsidRPr="006A78F3" w:rsidRDefault="00C70F0F">
      <w:pPr>
        <w:rPr>
          <w:sz w:val="22"/>
          <w:highlight w:val="white"/>
        </w:rPr>
      </w:pPr>
      <w:r w:rsidRPr="006A78F3">
        <w:rPr>
          <w:sz w:val="22"/>
          <w:highlight w:val="white"/>
        </w:rPr>
        <w:t xml:space="preserve">Con referencia a la notificación de </w:t>
      </w:r>
      <w:r w:rsidRPr="006A78F3">
        <w:rPr>
          <w:b/>
          <w:i/>
          <w:sz w:val="22"/>
          <w:highlight w:val="white"/>
        </w:rPr>
        <w:t>Neumonía</w:t>
      </w:r>
      <w:r w:rsidRPr="006A78F3">
        <w:rPr>
          <w:sz w:val="22"/>
          <w:highlight w:val="white"/>
        </w:rPr>
        <w:t xml:space="preserve">, la tasa de la CMR en el periodo de estudio fue de </w:t>
      </w:r>
      <w:r w:rsidR="00DE70CE" w:rsidRPr="006A78F3">
        <w:rPr>
          <w:sz w:val="22"/>
          <w:highlight w:val="white"/>
        </w:rPr>
        <w:t>6,32</w:t>
      </w:r>
      <w:r w:rsidRPr="006A78F3">
        <w:rPr>
          <w:sz w:val="22"/>
          <w:highlight w:val="white"/>
        </w:rPr>
        <w:t xml:space="preserve"> c/10.000 hab., inferior a la tasa del total país (</w:t>
      </w:r>
      <w:r w:rsidR="00DE70CE" w:rsidRPr="006A78F3">
        <w:rPr>
          <w:sz w:val="22"/>
          <w:highlight w:val="white"/>
        </w:rPr>
        <w:t>13,02</w:t>
      </w:r>
      <w:r w:rsidRPr="006A78F3">
        <w:rPr>
          <w:sz w:val="22"/>
          <w:highlight w:val="white"/>
        </w:rPr>
        <w:t xml:space="preserve"> c/10.000 hab.), a la de CABA (</w:t>
      </w:r>
      <w:r w:rsidR="00DE70CE" w:rsidRPr="006A78F3">
        <w:rPr>
          <w:sz w:val="22"/>
          <w:highlight w:val="white"/>
        </w:rPr>
        <w:t>7,62</w:t>
      </w:r>
      <w:r w:rsidRPr="006A78F3">
        <w:rPr>
          <w:sz w:val="22"/>
          <w:highlight w:val="white"/>
        </w:rPr>
        <w:t xml:space="preserve"> c/10.000 hab.) y a la tasa de la prov. de Buenos Aires (</w:t>
      </w:r>
      <w:r w:rsidR="00DE70CE" w:rsidRPr="006A78F3">
        <w:rPr>
          <w:sz w:val="22"/>
          <w:highlight w:val="white"/>
        </w:rPr>
        <w:t>7,87</w:t>
      </w:r>
      <w:r w:rsidRPr="006A78F3">
        <w:rPr>
          <w:sz w:val="22"/>
          <w:highlight w:val="white"/>
        </w:rPr>
        <w:t xml:space="preserve"> c/10.000 hab.). Las jurisdicciones de la CMR que registraron las tasas más elevadas para neumonía en el periodo de estudio fueron San Vicente (</w:t>
      </w:r>
      <w:r w:rsidR="00DE70CE" w:rsidRPr="006A78F3">
        <w:rPr>
          <w:sz w:val="22"/>
          <w:highlight w:val="white"/>
        </w:rPr>
        <w:t>47,94</w:t>
      </w:r>
      <w:r w:rsidRPr="006A78F3">
        <w:rPr>
          <w:sz w:val="22"/>
          <w:highlight w:val="white"/>
        </w:rPr>
        <w:t xml:space="preserve"> c/10.000 hab.) y </w:t>
      </w:r>
      <w:r w:rsidR="00DE70CE" w:rsidRPr="006A78F3">
        <w:rPr>
          <w:sz w:val="22"/>
          <w:highlight w:val="white"/>
        </w:rPr>
        <w:t>Gral. Las Heras</w:t>
      </w:r>
      <w:r w:rsidRPr="006A78F3">
        <w:rPr>
          <w:sz w:val="22"/>
          <w:highlight w:val="white"/>
        </w:rPr>
        <w:t xml:space="preserve"> (</w:t>
      </w:r>
      <w:r w:rsidR="00DE70CE" w:rsidRPr="006A78F3">
        <w:rPr>
          <w:sz w:val="22"/>
          <w:highlight w:val="white"/>
        </w:rPr>
        <w:t>23,86</w:t>
      </w:r>
      <w:r w:rsidRPr="006A78F3">
        <w:rPr>
          <w:sz w:val="22"/>
          <w:highlight w:val="white"/>
        </w:rPr>
        <w:t xml:space="preserve"> c/ 10.000 hab.) Tabla 4</w:t>
      </w:r>
    </w:p>
    <w:p w14:paraId="5B877F80" w14:textId="77777777" w:rsidR="00900D5B" w:rsidRPr="006A78F3" w:rsidRDefault="00900D5B">
      <w:pPr>
        <w:spacing w:line="276" w:lineRule="auto"/>
        <w:ind w:left="840" w:hanging="420"/>
        <w:rPr>
          <w:b/>
          <w:sz w:val="22"/>
        </w:rPr>
      </w:pPr>
    </w:p>
    <w:p w14:paraId="78333959" w14:textId="66AF16AD" w:rsidR="00900D5B" w:rsidRPr="006A78F3" w:rsidRDefault="00C70F0F">
      <w:pPr>
        <w:ind w:firstLine="720"/>
        <w:rPr>
          <w:sz w:val="22"/>
        </w:rPr>
      </w:pPr>
      <w:r w:rsidRPr="006A78F3">
        <w:rPr>
          <w:b/>
          <w:sz w:val="22"/>
        </w:rPr>
        <w:lastRenderedPageBreak/>
        <w:t xml:space="preserve">Tabla 4: </w:t>
      </w:r>
      <w:r w:rsidRPr="006A78F3">
        <w:rPr>
          <w:sz w:val="22"/>
        </w:rPr>
        <w:t xml:space="preserve">Notificación Clínica agrupada de enfermedad respiratoria aguda vigilada a partir del Sistema Nacional de Vigilancia 2.0. Casos y tasas de notificación c/10.000 habitantes. Municipios y Comunas que componen la CMR, CABA, Prov. de Buenos Aires y Total país. </w:t>
      </w:r>
      <w:r w:rsidRPr="006A78F3">
        <w:rPr>
          <w:sz w:val="22"/>
          <w:highlight w:val="white"/>
        </w:rPr>
        <w:t xml:space="preserve">SE </w:t>
      </w:r>
      <w:r w:rsidR="009E0CCE" w:rsidRPr="006A78F3">
        <w:rPr>
          <w:sz w:val="22"/>
        </w:rPr>
        <w:t>23 (2 de junio de 2019) a 35 (31 de agosto de 2019).</w:t>
      </w:r>
      <w:r w:rsidRPr="006A78F3">
        <w:rPr>
          <w:sz w:val="22"/>
        </w:rPr>
        <w:t xml:space="preserve"> Año 2019. </w:t>
      </w:r>
    </w:p>
    <w:p w14:paraId="4A71431A" w14:textId="015672BA" w:rsidR="009E0CCE" w:rsidRDefault="009E0CCE">
      <w:pPr>
        <w:ind w:firstLine="720"/>
      </w:pPr>
      <w:r w:rsidRPr="009E0CCE">
        <w:rPr>
          <w:noProof/>
          <w:lang w:val="es-ES"/>
        </w:rPr>
        <w:drawing>
          <wp:inline distT="0" distB="0" distL="0" distR="0" wp14:anchorId="4A0FB5F8" wp14:editId="5DF04D55">
            <wp:extent cx="5560894" cy="4038600"/>
            <wp:effectExtent l="0" t="0" r="190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539" cy="4042700"/>
                    </a:xfrm>
                    <a:prstGeom prst="rect">
                      <a:avLst/>
                    </a:prstGeom>
                    <a:noFill/>
                    <a:ln>
                      <a:noFill/>
                    </a:ln>
                  </pic:spPr>
                </pic:pic>
              </a:graphicData>
            </a:graphic>
          </wp:inline>
        </w:drawing>
      </w:r>
    </w:p>
    <w:p w14:paraId="5CAE6D9E" w14:textId="5CDB1591" w:rsidR="00900D5B" w:rsidRDefault="00C70F0F" w:rsidP="005E55AE">
      <w:pPr>
        <w:ind w:firstLine="0"/>
        <w:jc w:val="center"/>
        <w:rPr>
          <w:b/>
        </w:rPr>
      </w:pPr>
      <w:r>
        <w:rPr>
          <w:sz w:val="18"/>
          <w:szCs w:val="18"/>
        </w:rPr>
        <w:t xml:space="preserve">Fuente: Elaboración propia en base a datos del SNVS </w:t>
      </w:r>
      <w:r>
        <w:rPr>
          <w:sz w:val="18"/>
          <w:szCs w:val="18"/>
          <w:vertAlign w:val="superscript"/>
        </w:rPr>
        <w:t>2.0</w:t>
      </w:r>
      <w:r>
        <w:rPr>
          <w:sz w:val="18"/>
          <w:szCs w:val="18"/>
        </w:rPr>
        <w:t>.</w:t>
      </w:r>
    </w:p>
    <w:p w14:paraId="1CD5BFD6" w14:textId="77777777" w:rsidR="000F5481" w:rsidRDefault="000F5481">
      <w:pPr>
        <w:ind w:firstLine="0"/>
        <w:rPr>
          <w:b/>
        </w:rPr>
      </w:pPr>
    </w:p>
    <w:p w14:paraId="68BC6123" w14:textId="2B067E82" w:rsidR="005E55AE" w:rsidRDefault="005E55AE">
      <w:pPr>
        <w:ind w:firstLine="0"/>
        <w:rPr>
          <w:b/>
        </w:rPr>
      </w:pPr>
    </w:p>
    <w:p w14:paraId="430527FF" w14:textId="23675AD9" w:rsidR="00900D5B" w:rsidRPr="006A78F3" w:rsidRDefault="00C70F0F">
      <w:pPr>
        <w:ind w:firstLine="0"/>
        <w:rPr>
          <w:sz w:val="22"/>
        </w:rPr>
      </w:pPr>
      <w:r w:rsidRPr="006A78F3">
        <w:rPr>
          <w:b/>
          <w:sz w:val="22"/>
        </w:rPr>
        <w:t xml:space="preserve">Lesiones por Causas Externas (Accidentes Viales)- </w:t>
      </w:r>
      <w:r w:rsidRPr="006A78F3">
        <w:rPr>
          <w:sz w:val="22"/>
        </w:rPr>
        <w:t xml:space="preserve">Notificación agrupada clínica </w:t>
      </w:r>
    </w:p>
    <w:p w14:paraId="04EA3CFB" w14:textId="77777777" w:rsidR="000F5481" w:rsidRPr="006A78F3" w:rsidRDefault="000F5481">
      <w:pPr>
        <w:rPr>
          <w:sz w:val="22"/>
        </w:rPr>
      </w:pPr>
    </w:p>
    <w:p w14:paraId="1DE77CF8" w14:textId="77777777" w:rsidR="005E55AE" w:rsidRPr="006A78F3" w:rsidRDefault="005E55AE">
      <w:pPr>
        <w:rPr>
          <w:sz w:val="22"/>
        </w:rPr>
      </w:pPr>
    </w:p>
    <w:p w14:paraId="13FA0A7E" w14:textId="77777777" w:rsidR="00900D5B" w:rsidRPr="006A78F3" w:rsidRDefault="00C70F0F">
      <w:pPr>
        <w:ind w:firstLine="0"/>
        <w:rPr>
          <w:sz w:val="22"/>
          <w:highlight w:val="white"/>
        </w:rPr>
      </w:pPr>
      <w:r w:rsidRPr="006A78F3">
        <w:rPr>
          <w:sz w:val="22"/>
        </w:rPr>
        <w:t xml:space="preserve"> </w:t>
      </w:r>
      <w:r w:rsidRPr="006A78F3">
        <w:rPr>
          <w:sz w:val="22"/>
          <w:highlight w:val="white"/>
        </w:rPr>
        <w:t xml:space="preserve">  En el caso de la notificación clínica agrupada de accidentes viales, en el periodo de estudio, ninguna de las Comunas de CABA registraron eventos, pero sí lo hicieron 13 de los 14 municipios de la prov. de Buenos Aires que integran La CMR. Tabla 5</w:t>
      </w:r>
    </w:p>
    <w:p w14:paraId="7A712FFA" w14:textId="044E031D" w:rsidR="00900D5B" w:rsidRPr="006A78F3" w:rsidRDefault="00C70F0F">
      <w:pPr>
        <w:ind w:firstLine="0"/>
        <w:rPr>
          <w:sz w:val="22"/>
          <w:highlight w:val="white"/>
        </w:rPr>
      </w:pPr>
      <w:r w:rsidRPr="006A78F3">
        <w:rPr>
          <w:sz w:val="22"/>
          <w:highlight w:val="white"/>
        </w:rPr>
        <w:t xml:space="preserve">   La tasa de notificación de accidentes viales de la CMR (sin CABA) fue de </w:t>
      </w:r>
      <w:r w:rsidR="00DB70BE" w:rsidRPr="006A78F3">
        <w:rPr>
          <w:sz w:val="22"/>
          <w:highlight w:val="white"/>
        </w:rPr>
        <w:t>2,27</w:t>
      </w:r>
      <w:r w:rsidRPr="006A78F3">
        <w:rPr>
          <w:sz w:val="22"/>
          <w:highlight w:val="white"/>
        </w:rPr>
        <w:t xml:space="preserve"> c/10.000 hab., inferior a la tasa de prov. de Buenos Aires (</w:t>
      </w:r>
      <w:r w:rsidR="00DB70BE" w:rsidRPr="006A78F3">
        <w:rPr>
          <w:sz w:val="22"/>
          <w:highlight w:val="white"/>
        </w:rPr>
        <w:t>3,94</w:t>
      </w:r>
      <w:r w:rsidRPr="006A78F3">
        <w:rPr>
          <w:sz w:val="22"/>
          <w:highlight w:val="white"/>
        </w:rPr>
        <w:t xml:space="preserve"> c/10.000 hab.) y del total país (</w:t>
      </w:r>
      <w:r w:rsidR="00DB70BE" w:rsidRPr="006A78F3">
        <w:rPr>
          <w:sz w:val="22"/>
          <w:highlight w:val="white"/>
        </w:rPr>
        <w:t>7,03</w:t>
      </w:r>
      <w:r w:rsidRPr="006A78F3">
        <w:rPr>
          <w:sz w:val="22"/>
          <w:highlight w:val="white"/>
        </w:rPr>
        <w:t xml:space="preserve"> c/10.000 hab.). </w:t>
      </w:r>
      <w:r w:rsidR="00EB0A4F" w:rsidRPr="006A78F3">
        <w:rPr>
          <w:sz w:val="22"/>
          <w:highlight w:val="white"/>
        </w:rPr>
        <w:t>Los</w:t>
      </w:r>
      <w:r w:rsidRPr="006A78F3">
        <w:rPr>
          <w:sz w:val="22"/>
          <w:highlight w:val="white"/>
        </w:rPr>
        <w:t xml:space="preserve"> municipio</w:t>
      </w:r>
      <w:r w:rsidR="00EB0A4F" w:rsidRPr="006A78F3">
        <w:rPr>
          <w:sz w:val="22"/>
          <w:highlight w:val="white"/>
        </w:rPr>
        <w:t>s</w:t>
      </w:r>
      <w:r w:rsidRPr="006A78F3">
        <w:rPr>
          <w:sz w:val="22"/>
          <w:highlight w:val="white"/>
        </w:rPr>
        <w:t xml:space="preserve"> de la CMR con la</w:t>
      </w:r>
      <w:r w:rsidR="00EB0A4F" w:rsidRPr="006A78F3">
        <w:rPr>
          <w:sz w:val="22"/>
          <w:highlight w:val="white"/>
        </w:rPr>
        <w:t>s</w:t>
      </w:r>
      <w:r w:rsidRPr="006A78F3">
        <w:rPr>
          <w:sz w:val="22"/>
          <w:highlight w:val="white"/>
        </w:rPr>
        <w:t xml:space="preserve"> tasa</w:t>
      </w:r>
      <w:r w:rsidR="00EB0A4F" w:rsidRPr="006A78F3">
        <w:rPr>
          <w:sz w:val="22"/>
          <w:highlight w:val="white"/>
        </w:rPr>
        <w:t>s</w:t>
      </w:r>
      <w:r w:rsidRPr="006A78F3">
        <w:rPr>
          <w:sz w:val="22"/>
          <w:highlight w:val="white"/>
        </w:rPr>
        <w:t xml:space="preserve"> de notificación más elevada</w:t>
      </w:r>
      <w:r w:rsidR="00EB0A4F" w:rsidRPr="006A78F3">
        <w:rPr>
          <w:sz w:val="22"/>
          <w:highlight w:val="white"/>
        </w:rPr>
        <w:t>s</w:t>
      </w:r>
      <w:r w:rsidRPr="006A78F3">
        <w:rPr>
          <w:sz w:val="22"/>
          <w:highlight w:val="white"/>
        </w:rPr>
        <w:t xml:space="preserve"> fue</w:t>
      </w:r>
      <w:r w:rsidR="00EB0A4F" w:rsidRPr="006A78F3">
        <w:rPr>
          <w:sz w:val="22"/>
          <w:highlight w:val="white"/>
        </w:rPr>
        <w:t>ron</w:t>
      </w:r>
      <w:r w:rsidRPr="006A78F3">
        <w:rPr>
          <w:sz w:val="22"/>
          <w:highlight w:val="white"/>
        </w:rPr>
        <w:t xml:space="preserve"> Gral. Las Heras con </w:t>
      </w:r>
      <w:r w:rsidR="00DB70BE" w:rsidRPr="006A78F3">
        <w:rPr>
          <w:sz w:val="22"/>
          <w:highlight w:val="white"/>
        </w:rPr>
        <w:t>16,88</w:t>
      </w:r>
      <w:r w:rsidRPr="006A78F3">
        <w:rPr>
          <w:sz w:val="22"/>
          <w:highlight w:val="white"/>
        </w:rPr>
        <w:t xml:space="preserve"> c/ 10.000 </w:t>
      </w:r>
      <w:proofErr w:type="spellStart"/>
      <w:r w:rsidRPr="006A78F3">
        <w:rPr>
          <w:sz w:val="22"/>
          <w:highlight w:val="white"/>
        </w:rPr>
        <w:t>hab</w:t>
      </w:r>
      <w:proofErr w:type="spellEnd"/>
      <w:r w:rsidR="00EB0A4F" w:rsidRPr="006A78F3">
        <w:rPr>
          <w:sz w:val="22"/>
          <w:highlight w:val="white"/>
        </w:rPr>
        <w:t xml:space="preserve"> y </w:t>
      </w:r>
      <w:r w:rsidR="00116041" w:rsidRPr="006A78F3">
        <w:rPr>
          <w:sz w:val="22"/>
          <w:highlight w:val="white"/>
        </w:rPr>
        <w:t>San Vicente con (15,63</w:t>
      </w:r>
      <w:r w:rsidR="00116041" w:rsidRPr="006A78F3">
        <w:rPr>
          <w:sz w:val="22"/>
        </w:rPr>
        <w:t xml:space="preserve"> c/10.000 hab.).</w:t>
      </w:r>
      <w:r w:rsidRPr="006A78F3">
        <w:rPr>
          <w:sz w:val="22"/>
          <w:highlight w:val="white"/>
        </w:rPr>
        <w:t xml:space="preserve"> Tabla 5</w:t>
      </w:r>
    </w:p>
    <w:p w14:paraId="634A9077" w14:textId="77777777" w:rsidR="00900D5B" w:rsidRPr="006A78F3" w:rsidRDefault="00900D5B">
      <w:pPr>
        <w:rPr>
          <w:sz w:val="22"/>
        </w:rPr>
      </w:pPr>
    </w:p>
    <w:p w14:paraId="4A4021DB" w14:textId="77777777" w:rsidR="005E55AE" w:rsidRPr="006A78F3" w:rsidRDefault="005E55AE">
      <w:pPr>
        <w:ind w:firstLine="720"/>
        <w:rPr>
          <w:b/>
          <w:sz w:val="22"/>
        </w:rPr>
      </w:pPr>
    </w:p>
    <w:p w14:paraId="3E950ECE" w14:textId="0D71447F" w:rsidR="00900D5B" w:rsidRPr="006A78F3" w:rsidRDefault="00C70F0F">
      <w:pPr>
        <w:ind w:firstLine="720"/>
        <w:rPr>
          <w:sz w:val="22"/>
        </w:rPr>
      </w:pPr>
      <w:r w:rsidRPr="006A78F3">
        <w:rPr>
          <w:b/>
          <w:sz w:val="22"/>
        </w:rPr>
        <w:t xml:space="preserve">Tabla 5: </w:t>
      </w:r>
      <w:r w:rsidRPr="006A78F3">
        <w:rPr>
          <w:sz w:val="22"/>
        </w:rPr>
        <w:t xml:space="preserve">Notificación Clínica agrupada de Accidentes viales vigilados a partir del Sistema Nacional de Vigilancia 2.0. Casos y tasas de notificación c/10.000 habitantes. Municipios y Comunas que componen la CMR, Prov. de Buenos Aires y Total país. </w:t>
      </w:r>
      <w:r w:rsidR="00DB70BE" w:rsidRPr="006A78F3">
        <w:rPr>
          <w:sz w:val="22"/>
        </w:rPr>
        <w:t>23 (2 de junio de 2019) a 35 (31 de agosto de 2019).</w:t>
      </w:r>
      <w:r w:rsidRPr="006A78F3">
        <w:rPr>
          <w:sz w:val="22"/>
        </w:rPr>
        <w:t xml:space="preserve"> Año 2019.</w:t>
      </w:r>
    </w:p>
    <w:p w14:paraId="3D003838" w14:textId="414F8E1A" w:rsidR="00DB70BE" w:rsidRDefault="00DB70BE" w:rsidP="005E55AE">
      <w:pPr>
        <w:ind w:firstLine="720"/>
        <w:jc w:val="center"/>
        <w:rPr>
          <w:b/>
        </w:rPr>
      </w:pPr>
      <w:r w:rsidRPr="00DB70BE">
        <w:rPr>
          <w:noProof/>
          <w:lang w:val="es-ES"/>
        </w:rPr>
        <w:drawing>
          <wp:inline distT="0" distB="0" distL="0" distR="0" wp14:anchorId="7BF1C89B" wp14:editId="09F836A0">
            <wp:extent cx="2822640" cy="477202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2640" cy="4772025"/>
                    </a:xfrm>
                    <a:prstGeom prst="rect">
                      <a:avLst/>
                    </a:prstGeom>
                    <a:noFill/>
                    <a:ln>
                      <a:noFill/>
                    </a:ln>
                  </pic:spPr>
                </pic:pic>
              </a:graphicData>
            </a:graphic>
          </wp:inline>
        </w:drawing>
      </w:r>
    </w:p>
    <w:p w14:paraId="3ECC119C" w14:textId="77777777" w:rsidR="00900D5B" w:rsidRDefault="00C70F0F">
      <w:pPr>
        <w:jc w:val="center"/>
      </w:pPr>
      <w:r>
        <w:rPr>
          <w:sz w:val="18"/>
          <w:szCs w:val="18"/>
        </w:rPr>
        <w:t xml:space="preserve">Fuente: Elaboración propia en base a datos del SNVS </w:t>
      </w:r>
      <w:r>
        <w:rPr>
          <w:sz w:val="18"/>
          <w:szCs w:val="18"/>
          <w:vertAlign w:val="superscript"/>
        </w:rPr>
        <w:t>2.0</w:t>
      </w:r>
    </w:p>
    <w:p w14:paraId="2E4A81A5" w14:textId="65FAEDA2" w:rsidR="00900D5B" w:rsidRPr="00BA7367" w:rsidRDefault="00C70F0F" w:rsidP="00B034B6">
      <w:pPr>
        <w:pStyle w:val="Ttulo2"/>
        <w:rPr>
          <w:sz w:val="22"/>
        </w:rPr>
      </w:pPr>
      <w:bookmarkStart w:id="11" w:name="_Toc21530831"/>
      <w:r w:rsidRPr="00BA7367">
        <w:rPr>
          <w:sz w:val="22"/>
        </w:rPr>
        <w:t>I</w:t>
      </w:r>
      <w:r w:rsidR="00B034B6" w:rsidRPr="00BA7367">
        <w:rPr>
          <w:sz w:val="22"/>
        </w:rPr>
        <w:t>I. b.</w:t>
      </w:r>
      <w:r w:rsidRPr="00BA7367">
        <w:rPr>
          <w:sz w:val="22"/>
        </w:rPr>
        <w:t xml:space="preserve"> Red Nacional de Anomalías Congénitas (RENAC)</w:t>
      </w:r>
      <w:bookmarkEnd w:id="11"/>
    </w:p>
    <w:p w14:paraId="7B5C591A" w14:textId="77777777" w:rsidR="00900D5B" w:rsidRDefault="00900D5B"/>
    <w:p w14:paraId="20D32333" w14:textId="77777777" w:rsidR="00900D5B" w:rsidRPr="00BA7367" w:rsidRDefault="00C70F0F">
      <w:pPr>
        <w:ind w:firstLine="720"/>
        <w:rPr>
          <w:sz w:val="22"/>
        </w:rPr>
      </w:pPr>
      <w:r w:rsidRPr="00BA7367">
        <w:rPr>
          <w:sz w:val="22"/>
        </w:rPr>
        <w:t xml:space="preserve">La Red Nacional de Anomalías Congénitas (RENAC) se constituye como la integración del registro hospitalario que consolida los datos sobre recién nacidos con anomalías congénitas mayores de los establecimientos que forman parte de la red, generando información epidemiológica para su aplicación en salud pública, contribuyendo a la atención oportuna y la reducción de la </w:t>
      </w:r>
      <w:proofErr w:type="spellStart"/>
      <w:r w:rsidRPr="00BA7367">
        <w:rPr>
          <w:sz w:val="22"/>
        </w:rPr>
        <w:t>morbi</w:t>
      </w:r>
      <w:proofErr w:type="spellEnd"/>
      <w:r w:rsidRPr="00BA7367">
        <w:rPr>
          <w:sz w:val="22"/>
        </w:rPr>
        <w:t xml:space="preserve">-mortalidad por estos </w:t>
      </w:r>
      <w:r w:rsidRPr="00BA7367">
        <w:rPr>
          <w:sz w:val="22"/>
        </w:rPr>
        <w:lastRenderedPageBreak/>
        <w:t xml:space="preserve">eventos. </w:t>
      </w:r>
    </w:p>
    <w:p w14:paraId="732FD528" w14:textId="186347DB" w:rsidR="00900D5B" w:rsidRPr="00BA7367" w:rsidRDefault="00C06348">
      <w:pPr>
        <w:ind w:firstLine="0"/>
        <w:rPr>
          <w:sz w:val="22"/>
        </w:rPr>
      </w:pPr>
      <w:r w:rsidRPr="00BA7367">
        <w:rPr>
          <w:sz w:val="22"/>
        </w:rPr>
        <w:tab/>
        <w:t>Las prevalencias de anomalías congénitas correspondientes al año 2017 (último año de registro completo) de la CMR, CABA, Buenos Aires y Argentina fueron presentadas en el informe anterior.</w:t>
      </w:r>
    </w:p>
    <w:p w14:paraId="40A17190" w14:textId="667B563C" w:rsidR="00900D5B" w:rsidRPr="00BA7367" w:rsidRDefault="00B034B6" w:rsidP="00B034B6">
      <w:pPr>
        <w:pStyle w:val="Ttulo2"/>
        <w:rPr>
          <w:sz w:val="22"/>
        </w:rPr>
      </w:pPr>
      <w:bookmarkStart w:id="12" w:name="_Toc21530832"/>
      <w:r w:rsidRPr="00BA7367">
        <w:rPr>
          <w:sz w:val="22"/>
        </w:rPr>
        <w:t>II. c.</w:t>
      </w:r>
      <w:r w:rsidR="00C70F0F" w:rsidRPr="00BA7367">
        <w:rPr>
          <w:sz w:val="22"/>
        </w:rPr>
        <w:t xml:space="preserve"> Instituto Nacional del Cáncer</w:t>
      </w:r>
      <w:bookmarkEnd w:id="12"/>
      <w:r w:rsidR="00C70F0F" w:rsidRPr="00BA7367">
        <w:rPr>
          <w:sz w:val="22"/>
        </w:rPr>
        <w:t xml:space="preserve"> </w:t>
      </w:r>
    </w:p>
    <w:p w14:paraId="0C8E8618" w14:textId="77777777" w:rsidR="00900D5B" w:rsidRPr="00BA7367" w:rsidRDefault="00900D5B">
      <w:pPr>
        <w:rPr>
          <w:sz w:val="22"/>
        </w:rPr>
      </w:pPr>
    </w:p>
    <w:p w14:paraId="52BB05F5" w14:textId="77777777" w:rsidR="00900D5B" w:rsidRPr="00BA7367" w:rsidRDefault="00C70F0F">
      <w:pPr>
        <w:ind w:firstLine="720"/>
        <w:rPr>
          <w:sz w:val="22"/>
        </w:rPr>
      </w:pPr>
      <w:r w:rsidRPr="00BA7367">
        <w:rPr>
          <w:sz w:val="22"/>
        </w:rPr>
        <w:t xml:space="preserve">El Instituto Nacional de Cáncer (INC) es un ente dependiente de la Secretaría de Salud del Ministerio de Salud y Desarrollo Social de la Nación, y es el responsable del desarrollo e implementación de políticas de salud, así como la coordinación de acciones integradas para la prevención y control del cáncer. </w:t>
      </w:r>
    </w:p>
    <w:p w14:paraId="6BE06D88" w14:textId="77777777" w:rsidR="00900D5B" w:rsidRPr="00BA7367" w:rsidRDefault="00C70F0F">
      <w:pPr>
        <w:ind w:firstLine="720"/>
        <w:rPr>
          <w:sz w:val="22"/>
        </w:rPr>
      </w:pPr>
      <w:r w:rsidRPr="00BA7367">
        <w:rPr>
          <w:sz w:val="22"/>
        </w:rPr>
        <w:t>Su objetivo principal es disminuir la incidencia y la morbimortalidad por cáncer en Argentina, y entre sus objetivos específicos está el mejorar los sistemas de información y registros epidemiológicos de cáncer en el país.</w:t>
      </w:r>
    </w:p>
    <w:p w14:paraId="1BD6D8F8" w14:textId="477E1BB9" w:rsidR="00900D5B" w:rsidRPr="00BA7367" w:rsidRDefault="00C70F0F">
      <w:pPr>
        <w:ind w:firstLine="720"/>
        <w:rPr>
          <w:sz w:val="22"/>
        </w:rPr>
      </w:pPr>
      <w:r w:rsidRPr="00BA7367">
        <w:rPr>
          <w:sz w:val="22"/>
        </w:rPr>
        <w:t xml:space="preserve">Desde la DSyEA se solicitó al INC un informe técnico sobre la situación epidemiológica del cáncer en la CMR, el mismo fue presentado en el informe trimestral anterior </w:t>
      </w:r>
      <w:r w:rsidR="00116041" w:rsidRPr="00BA7367">
        <w:rPr>
          <w:sz w:val="22"/>
        </w:rPr>
        <w:t>(el</w:t>
      </w:r>
      <w:r w:rsidRPr="00BA7367">
        <w:rPr>
          <w:sz w:val="22"/>
        </w:rPr>
        <w:t xml:space="preserve"> día 29/10)</w:t>
      </w:r>
    </w:p>
    <w:p w14:paraId="1C4E5E90" w14:textId="4BB4BCE2" w:rsidR="00900D5B" w:rsidRPr="00BA7367" w:rsidRDefault="00C70F0F">
      <w:pPr>
        <w:ind w:firstLine="720"/>
        <w:rPr>
          <w:sz w:val="22"/>
          <w:highlight w:val="white"/>
        </w:rPr>
      </w:pPr>
      <w:r w:rsidRPr="00BA7367">
        <w:rPr>
          <w:sz w:val="22"/>
        </w:rPr>
        <w:t xml:space="preserve">En la actualidad se realizó el pedido de un nuevo informe al Instituto con el fin de que el mismo, pueda aproximarse a </w:t>
      </w:r>
      <w:r w:rsidR="00116041" w:rsidRPr="00BA7367">
        <w:rPr>
          <w:sz w:val="22"/>
        </w:rPr>
        <w:t>las necesidades</w:t>
      </w:r>
      <w:r w:rsidRPr="00BA7367">
        <w:rPr>
          <w:sz w:val="22"/>
        </w:rPr>
        <w:t xml:space="preserve"> de conocer l</w:t>
      </w:r>
      <w:r w:rsidRPr="00BA7367">
        <w:rPr>
          <w:sz w:val="22"/>
          <w:highlight w:val="white"/>
        </w:rPr>
        <w:t>os eventos prevalentes e incidentes en la cuenca con mayor profundidad y actualización. Este pedido fue realizado en día 10/9 por vía mail, y reiterado a través de expediente electrónico el día 20/11/2018 y el 22/04/2019 (Nota-2019-37515929)</w:t>
      </w:r>
    </w:p>
    <w:p w14:paraId="47722963" w14:textId="0C0A385F" w:rsidR="00900D5B" w:rsidRPr="00BA7367" w:rsidRDefault="00B034B6" w:rsidP="00B034B6">
      <w:pPr>
        <w:pStyle w:val="Ttulo2"/>
        <w:rPr>
          <w:sz w:val="22"/>
        </w:rPr>
      </w:pPr>
      <w:bookmarkStart w:id="13" w:name="_z337ya" w:colFirst="0" w:colLast="0"/>
      <w:bookmarkStart w:id="14" w:name="_Toc21530833"/>
      <w:bookmarkEnd w:id="13"/>
      <w:r w:rsidRPr="00BA7367">
        <w:rPr>
          <w:sz w:val="22"/>
        </w:rPr>
        <w:t>I</w:t>
      </w:r>
      <w:r w:rsidR="00C70F0F" w:rsidRPr="00BA7367">
        <w:rPr>
          <w:sz w:val="22"/>
        </w:rPr>
        <w:t>I.</w:t>
      </w:r>
      <w:r w:rsidRPr="00BA7367">
        <w:rPr>
          <w:sz w:val="22"/>
        </w:rPr>
        <w:t xml:space="preserve"> d. </w:t>
      </w:r>
      <w:r w:rsidR="00F34663" w:rsidRPr="00BA7367">
        <w:rPr>
          <w:sz w:val="22"/>
        </w:rPr>
        <w:t>Estadísticas Vitales de la Dirección de Estadísticas e Información en Salud</w:t>
      </w:r>
      <w:bookmarkEnd w:id="14"/>
    </w:p>
    <w:p w14:paraId="28C092B5" w14:textId="2FA534F5" w:rsidR="000F5481" w:rsidRPr="00BA7367" w:rsidRDefault="00C70F0F">
      <w:pPr>
        <w:ind w:firstLine="720"/>
        <w:rPr>
          <w:sz w:val="22"/>
        </w:rPr>
      </w:pPr>
      <w:r w:rsidRPr="00BA7367">
        <w:rPr>
          <w:sz w:val="22"/>
        </w:rPr>
        <w:t>En relación al análisis de la</w:t>
      </w:r>
      <w:r w:rsidR="000F5481" w:rsidRPr="00BA7367">
        <w:rPr>
          <w:sz w:val="22"/>
        </w:rPr>
        <w:t xml:space="preserve"> estructura de la mortalidad según causas en la CMR</w:t>
      </w:r>
      <w:r w:rsidRPr="00BA7367">
        <w:rPr>
          <w:sz w:val="22"/>
        </w:rPr>
        <w:t xml:space="preserve"> se realizó un informe sobre mortalidad infantil y sus componentes en el período 2010-201</w:t>
      </w:r>
      <w:r w:rsidR="00714444" w:rsidRPr="00BA7367">
        <w:rPr>
          <w:sz w:val="22"/>
        </w:rPr>
        <w:t>7</w:t>
      </w:r>
      <w:r w:rsidRPr="00BA7367">
        <w:rPr>
          <w:sz w:val="22"/>
        </w:rPr>
        <w:t xml:space="preserve">, en relación con el total país, CABA y Buenos Aires. </w:t>
      </w:r>
      <w:r w:rsidR="000F5481" w:rsidRPr="00BA7367">
        <w:rPr>
          <w:sz w:val="22"/>
        </w:rPr>
        <w:t>Este informe fue remitido al juzgado con fecha 23/09/2019.</w:t>
      </w:r>
    </w:p>
    <w:p w14:paraId="075ADD2D" w14:textId="7EC8FC19" w:rsidR="00900D5B" w:rsidRPr="00BA7367" w:rsidRDefault="00C70F0F">
      <w:pPr>
        <w:ind w:firstLine="720"/>
        <w:rPr>
          <w:sz w:val="22"/>
        </w:rPr>
      </w:pPr>
      <w:r w:rsidRPr="00BA7367">
        <w:rPr>
          <w:sz w:val="22"/>
        </w:rPr>
        <w:t xml:space="preserve">Se encuentra en proceso de actualización el informe </w:t>
      </w:r>
      <w:r w:rsidR="00714444" w:rsidRPr="00BA7367">
        <w:rPr>
          <w:sz w:val="22"/>
        </w:rPr>
        <w:t>de</w:t>
      </w:r>
      <w:r w:rsidRPr="00BA7367">
        <w:rPr>
          <w:sz w:val="22"/>
        </w:rPr>
        <w:t xml:space="preserve"> mortalidad general del año 2017. </w:t>
      </w:r>
    </w:p>
    <w:p w14:paraId="43096B75" w14:textId="5D1E014F" w:rsidR="00B034B6" w:rsidRPr="00BA7367" w:rsidRDefault="00C70F0F" w:rsidP="00B034B6">
      <w:pPr>
        <w:pStyle w:val="Ttulo1"/>
        <w:spacing w:before="0" w:after="0"/>
        <w:rPr>
          <w:sz w:val="22"/>
          <w:szCs w:val="24"/>
          <w:highlight w:val="white"/>
        </w:rPr>
      </w:pPr>
      <w:bookmarkStart w:id="15" w:name="_Toc21530834"/>
      <w:r w:rsidRPr="00BA7367">
        <w:rPr>
          <w:sz w:val="22"/>
          <w:szCs w:val="24"/>
        </w:rPr>
        <w:t>I</w:t>
      </w:r>
      <w:r w:rsidR="00F34663" w:rsidRPr="00BA7367">
        <w:rPr>
          <w:sz w:val="22"/>
          <w:szCs w:val="24"/>
        </w:rPr>
        <w:t>II</w:t>
      </w:r>
      <w:r w:rsidRPr="00BA7367">
        <w:rPr>
          <w:sz w:val="22"/>
          <w:szCs w:val="24"/>
        </w:rPr>
        <w:t xml:space="preserve">. </w:t>
      </w:r>
      <w:r w:rsidR="00B034B6" w:rsidRPr="00BA7367">
        <w:rPr>
          <w:sz w:val="22"/>
          <w:szCs w:val="24"/>
          <w:highlight w:val="white"/>
        </w:rPr>
        <w:t>Análisis de Información disponible a partir de fuentes primarias:</w:t>
      </w:r>
      <w:bookmarkEnd w:id="15"/>
    </w:p>
    <w:p w14:paraId="13942D09" w14:textId="30377868" w:rsidR="00900D5B" w:rsidRPr="00BA7367" w:rsidRDefault="00C70F0F">
      <w:pPr>
        <w:pStyle w:val="Ttulo1"/>
        <w:spacing w:before="0" w:after="0"/>
        <w:rPr>
          <w:sz w:val="22"/>
          <w:szCs w:val="24"/>
        </w:rPr>
      </w:pPr>
      <w:bookmarkStart w:id="16" w:name="_Toc21530835"/>
      <w:r w:rsidRPr="00BA7367">
        <w:rPr>
          <w:sz w:val="22"/>
          <w:szCs w:val="24"/>
        </w:rPr>
        <w:t>Evaluaciones Integrales en Salud Ambiental en Áreas de Riesgo</w:t>
      </w:r>
      <w:bookmarkEnd w:id="16"/>
    </w:p>
    <w:p w14:paraId="36906B71" w14:textId="77777777" w:rsidR="00900D5B" w:rsidRPr="00BA7367" w:rsidRDefault="00900D5B">
      <w:pPr>
        <w:rPr>
          <w:sz w:val="22"/>
        </w:rPr>
      </w:pPr>
    </w:p>
    <w:p w14:paraId="5D76983A" w14:textId="77777777" w:rsidR="00900D5B" w:rsidRPr="00BA7367" w:rsidRDefault="00C70F0F">
      <w:pPr>
        <w:rPr>
          <w:sz w:val="22"/>
        </w:rPr>
      </w:pPr>
      <w:r w:rsidRPr="00BA7367">
        <w:rPr>
          <w:sz w:val="22"/>
        </w:rPr>
        <w:t xml:space="preserve">Las EISAAR, implementadas desde diciembre de 2016 en ACUMAR representan el </w:t>
      </w:r>
      <w:r w:rsidRPr="00BA7367">
        <w:rPr>
          <w:sz w:val="22"/>
        </w:rPr>
        <w:lastRenderedPageBreak/>
        <w:t xml:space="preserve">modelo de abordaje territorial de la Dirección de Salud y Educación Ambiental, orientado a conocer e intervenir sobre los problemas de salud de la población más vulnerable de la CMR expuesta a amenazas ambientales. </w:t>
      </w:r>
    </w:p>
    <w:p w14:paraId="5D433FA8" w14:textId="77777777" w:rsidR="00714444" w:rsidRPr="00BA7367" w:rsidRDefault="00714444">
      <w:pPr>
        <w:pStyle w:val="Ttulo5"/>
        <w:spacing w:before="0" w:after="0"/>
        <w:ind w:firstLine="0"/>
        <w:rPr>
          <w:sz w:val="22"/>
        </w:rPr>
      </w:pPr>
      <w:bookmarkStart w:id="17" w:name="_4i7ojhp" w:colFirst="0" w:colLast="0"/>
      <w:bookmarkEnd w:id="17"/>
    </w:p>
    <w:p w14:paraId="01913FBF" w14:textId="38C19E20" w:rsidR="00900D5B" w:rsidRPr="00BA7367" w:rsidRDefault="00C70F0F" w:rsidP="00714444">
      <w:pPr>
        <w:rPr>
          <w:sz w:val="22"/>
          <w:u w:val="single"/>
        </w:rPr>
      </w:pPr>
      <w:r w:rsidRPr="00BA7367">
        <w:rPr>
          <w:sz w:val="22"/>
          <w:u w:val="single"/>
        </w:rPr>
        <w:t>Resultados de eventos vigilados a partir de la Pesquisa de Vivienda, Hogar y Persona</w:t>
      </w:r>
      <w:r w:rsidRPr="00BA7367">
        <w:rPr>
          <w:b/>
          <w:sz w:val="22"/>
          <w:u w:val="single"/>
        </w:rPr>
        <w:t>.</w:t>
      </w:r>
    </w:p>
    <w:p w14:paraId="3C4728AD" w14:textId="77777777" w:rsidR="00900D5B" w:rsidRPr="00BA7367" w:rsidRDefault="00900D5B">
      <w:pPr>
        <w:rPr>
          <w:sz w:val="22"/>
        </w:rPr>
      </w:pPr>
    </w:p>
    <w:p w14:paraId="10F047B9" w14:textId="14E7685C" w:rsidR="00900D5B" w:rsidRPr="00BA7367" w:rsidRDefault="00C70F0F">
      <w:pPr>
        <w:rPr>
          <w:sz w:val="22"/>
        </w:rPr>
      </w:pPr>
      <w:r w:rsidRPr="00BA7367">
        <w:rPr>
          <w:sz w:val="22"/>
        </w:rPr>
        <w:t>Se utilizaron para el análisis y la presentación de la información las bases de datos EISAAR consolidadas y analizadas correspondientes al período enero-octubre del año 2019</w:t>
      </w:r>
      <w:r w:rsidR="00714444" w:rsidRPr="00BA7367">
        <w:rPr>
          <w:sz w:val="22"/>
        </w:rPr>
        <w:t>. Estos datos representan</w:t>
      </w:r>
      <w:r w:rsidRPr="00BA7367">
        <w:rPr>
          <w:sz w:val="22"/>
        </w:rPr>
        <w:t xml:space="preserve"> 36 </w:t>
      </w:r>
      <w:r w:rsidR="00714444" w:rsidRPr="00BA7367">
        <w:rPr>
          <w:sz w:val="22"/>
        </w:rPr>
        <w:t>de los barrios pesquisados</w:t>
      </w:r>
      <w:r w:rsidRPr="00BA7367">
        <w:rPr>
          <w:sz w:val="22"/>
        </w:rPr>
        <w:t xml:space="preserve"> con un total de 17.146 personas, se concretaron un total de 3.925 viviendas y 5.273 hogares. El promedio de hogares por vivienda es 1,34 y de personas por hogar es 3,25.</w:t>
      </w:r>
    </w:p>
    <w:p w14:paraId="6CFC3F19" w14:textId="77777777" w:rsidR="00900D5B" w:rsidRPr="00BA7367" w:rsidRDefault="00900D5B">
      <w:pPr>
        <w:ind w:firstLine="0"/>
        <w:rPr>
          <w:b/>
          <w:sz w:val="22"/>
          <w:shd w:val="clear" w:color="auto" w:fill="FF9900"/>
        </w:rPr>
      </w:pPr>
    </w:p>
    <w:p w14:paraId="240D9972" w14:textId="1CCE48D9" w:rsidR="00900D5B" w:rsidRPr="00BA7367" w:rsidRDefault="00C70F0F">
      <w:pPr>
        <w:ind w:firstLine="0"/>
        <w:rPr>
          <w:sz w:val="22"/>
        </w:rPr>
      </w:pPr>
      <w:r w:rsidRPr="00BA7367">
        <w:rPr>
          <w:b/>
          <w:sz w:val="22"/>
        </w:rPr>
        <w:t xml:space="preserve">Tabla </w:t>
      </w:r>
      <w:r w:rsidR="00C06348" w:rsidRPr="00BA7367">
        <w:rPr>
          <w:b/>
          <w:sz w:val="22"/>
        </w:rPr>
        <w:t>6</w:t>
      </w:r>
      <w:r w:rsidRPr="00BA7367">
        <w:rPr>
          <w:sz w:val="22"/>
        </w:rPr>
        <w:t>. Población y hogares de acuerdo a municipios y barrios relevados de la CMR, enero-octubre 2019.</w:t>
      </w:r>
    </w:p>
    <w:p w14:paraId="38C46B87" w14:textId="77777777" w:rsidR="00C70F0F" w:rsidRDefault="00C70F0F">
      <w:pPr>
        <w:ind w:firstLine="0"/>
      </w:pPr>
    </w:p>
    <w:tbl>
      <w:tblPr>
        <w:tblW w:w="8905" w:type="dxa"/>
        <w:jc w:val="center"/>
        <w:tblCellMar>
          <w:left w:w="70" w:type="dxa"/>
          <w:right w:w="70" w:type="dxa"/>
        </w:tblCellMar>
        <w:tblLook w:val="04A0" w:firstRow="1" w:lastRow="0" w:firstColumn="1" w:lastColumn="0" w:noHBand="0" w:noVBand="1"/>
      </w:tblPr>
      <w:tblGrid>
        <w:gridCol w:w="2600"/>
        <w:gridCol w:w="3278"/>
        <w:gridCol w:w="1526"/>
        <w:gridCol w:w="1501"/>
      </w:tblGrid>
      <w:tr w:rsidR="00C70F0F" w:rsidRPr="00BA7367" w14:paraId="4DC5E20E" w14:textId="77777777" w:rsidTr="00CC784F">
        <w:trPr>
          <w:cantSplit/>
          <w:trHeight w:val="363"/>
          <w:tblHeader/>
          <w:jc w:val="center"/>
        </w:trPr>
        <w:tc>
          <w:tcPr>
            <w:tcW w:w="2600" w:type="dxa"/>
            <w:tcBorders>
              <w:top w:val="single" w:sz="8" w:space="0" w:color="auto"/>
              <w:left w:val="single" w:sz="8" w:space="0" w:color="auto"/>
              <w:bottom w:val="nil"/>
              <w:right w:val="single" w:sz="4" w:space="0" w:color="auto"/>
            </w:tcBorders>
            <w:shd w:val="clear" w:color="000000" w:fill="BDD7EE"/>
            <w:noWrap/>
            <w:vAlign w:val="center"/>
            <w:hideMark/>
          </w:tcPr>
          <w:p w14:paraId="625DEDF6" w14:textId="77777777" w:rsidR="00C70F0F" w:rsidRPr="00BA7367" w:rsidRDefault="00C70F0F" w:rsidP="00C70F0F">
            <w:pPr>
              <w:spacing w:line="240" w:lineRule="auto"/>
              <w:jc w:val="center"/>
              <w:rPr>
                <w:rFonts w:eastAsia="Times New Roman" w:cs="Calibri"/>
                <w:b/>
                <w:color w:val="000000"/>
                <w:sz w:val="20"/>
                <w:szCs w:val="20"/>
              </w:rPr>
            </w:pPr>
            <w:r w:rsidRPr="00BA7367">
              <w:rPr>
                <w:rFonts w:eastAsia="Times New Roman" w:cs="Calibri"/>
                <w:b/>
                <w:color w:val="000000"/>
                <w:sz w:val="20"/>
                <w:szCs w:val="20"/>
              </w:rPr>
              <w:t>Municipio</w:t>
            </w:r>
          </w:p>
        </w:tc>
        <w:tc>
          <w:tcPr>
            <w:tcW w:w="3277" w:type="dxa"/>
            <w:tcBorders>
              <w:top w:val="single" w:sz="8" w:space="0" w:color="auto"/>
              <w:left w:val="single" w:sz="8" w:space="0" w:color="auto"/>
              <w:bottom w:val="nil"/>
              <w:right w:val="single" w:sz="4" w:space="0" w:color="auto"/>
            </w:tcBorders>
            <w:shd w:val="clear" w:color="000000" w:fill="BDD7EE"/>
            <w:noWrap/>
            <w:vAlign w:val="center"/>
            <w:hideMark/>
          </w:tcPr>
          <w:p w14:paraId="487EE0FD" w14:textId="77777777" w:rsidR="00C70F0F" w:rsidRPr="00BA7367" w:rsidRDefault="00C70F0F" w:rsidP="00C70F0F">
            <w:pPr>
              <w:spacing w:line="240" w:lineRule="auto"/>
              <w:jc w:val="center"/>
              <w:rPr>
                <w:rFonts w:eastAsia="Times New Roman" w:cs="Calibri"/>
                <w:b/>
                <w:color w:val="000000"/>
                <w:sz w:val="20"/>
                <w:szCs w:val="20"/>
              </w:rPr>
            </w:pPr>
            <w:r w:rsidRPr="00BA7367">
              <w:rPr>
                <w:rFonts w:eastAsia="Times New Roman" w:cs="Calibri"/>
                <w:b/>
                <w:color w:val="000000"/>
                <w:sz w:val="20"/>
                <w:szCs w:val="20"/>
              </w:rPr>
              <w:t>Operativo</w:t>
            </w:r>
          </w:p>
        </w:tc>
        <w:tc>
          <w:tcPr>
            <w:tcW w:w="1526" w:type="dxa"/>
            <w:tcBorders>
              <w:top w:val="single" w:sz="8" w:space="0" w:color="auto"/>
              <w:left w:val="single" w:sz="8" w:space="0" w:color="auto"/>
              <w:bottom w:val="nil"/>
              <w:right w:val="single" w:sz="4" w:space="0" w:color="auto"/>
            </w:tcBorders>
            <w:shd w:val="clear" w:color="000000" w:fill="BDD7EE"/>
            <w:noWrap/>
            <w:vAlign w:val="center"/>
            <w:hideMark/>
          </w:tcPr>
          <w:p w14:paraId="468A35F5" w14:textId="77777777" w:rsidR="00C70F0F" w:rsidRPr="00BA7367" w:rsidRDefault="00C70F0F" w:rsidP="00C70F0F">
            <w:pPr>
              <w:spacing w:line="240" w:lineRule="auto"/>
              <w:jc w:val="center"/>
              <w:rPr>
                <w:rFonts w:eastAsia="Times New Roman" w:cs="Calibri"/>
                <w:b/>
                <w:color w:val="000000"/>
                <w:sz w:val="20"/>
                <w:szCs w:val="20"/>
              </w:rPr>
            </w:pPr>
            <w:r w:rsidRPr="00BA7367">
              <w:rPr>
                <w:rFonts w:eastAsia="Times New Roman" w:cs="Calibri"/>
                <w:b/>
                <w:color w:val="000000"/>
                <w:sz w:val="20"/>
                <w:szCs w:val="20"/>
              </w:rPr>
              <w:t>Hogares</w:t>
            </w:r>
          </w:p>
        </w:tc>
        <w:tc>
          <w:tcPr>
            <w:tcW w:w="1501" w:type="dxa"/>
            <w:tcBorders>
              <w:top w:val="single" w:sz="8" w:space="0" w:color="auto"/>
              <w:left w:val="single" w:sz="8" w:space="0" w:color="auto"/>
              <w:bottom w:val="nil"/>
              <w:right w:val="single" w:sz="8" w:space="0" w:color="auto"/>
            </w:tcBorders>
            <w:shd w:val="clear" w:color="000000" w:fill="BDD7EE"/>
            <w:noWrap/>
            <w:vAlign w:val="center"/>
            <w:hideMark/>
          </w:tcPr>
          <w:p w14:paraId="3F44CEFF" w14:textId="77777777" w:rsidR="00C70F0F" w:rsidRPr="00BA7367" w:rsidRDefault="00C70F0F" w:rsidP="00C70F0F">
            <w:pPr>
              <w:spacing w:line="240" w:lineRule="auto"/>
              <w:jc w:val="center"/>
              <w:rPr>
                <w:rFonts w:eastAsia="Times New Roman" w:cs="Calibri"/>
                <w:b/>
                <w:color w:val="000000"/>
                <w:sz w:val="20"/>
                <w:szCs w:val="20"/>
              </w:rPr>
            </w:pPr>
            <w:r w:rsidRPr="00BA7367">
              <w:rPr>
                <w:rFonts w:eastAsia="Times New Roman" w:cs="Calibri"/>
                <w:b/>
                <w:color w:val="000000"/>
                <w:sz w:val="20"/>
                <w:szCs w:val="20"/>
              </w:rPr>
              <w:t>Personas</w:t>
            </w:r>
          </w:p>
        </w:tc>
      </w:tr>
      <w:tr w:rsidR="00C70F0F" w:rsidRPr="00BA7367" w14:paraId="24316058" w14:textId="77777777" w:rsidTr="005E55AE">
        <w:trPr>
          <w:trHeight w:hRule="exact" w:val="261"/>
          <w:jc w:val="center"/>
        </w:trPr>
        <w:tc>
          <w:tcPr>
            <w:tcW w:w="260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B7E0F9F"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ALMIRANTE BROWN</w:t>
            </w:r>
          </w:p>
        </w:tc>
        <w:tc>
          <w:tcPr>
            <w:tcW w:w="3277" w:type="dxa"/>
            <w:tcBorders>
              <w:top w:val="single" w:sz="4" w:space="0" w:color="auto"/>
              <w:left w:val="nil"/>
              <w:bottom w:val="single" w:sz="4" w:space="0" w:color="auto"/>
              <w:right w:val="single" w:sz="4" w:space="0" w:color="auto"/>
            </w:tcBorders>
            <w:shd w:val="clear" w:color="auto" w:fill="auto"/>
            <w:noWrap/>
            <w:vAlign w:val="center"/>
            <w:hideMark/>
          </w:tcPr>
          <w:p w14:paraId="6E2A2D1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SAKURA</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14:paraId="6311900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44</w:t>
            </w:r>
          </w:p>
        </w:tc>
        <w:tc>
          <w:tcPr>
            <w:tcW w:w="1501" w:type="dxa"/>
            <w:tcBorders>
              <w:top w:val="single" w:sz="4" w:space="0" w:color="auto"/>
              <w:left w:val="nil"/>
              <w:bottom w:val="single" w:sz="4" w:space="0" w:color="auto"/>
              <w:right w:val="single" w:sz="8" w:space="0" w:color="auto"/>
            </w:tcBorders>
            <w:shd w:val="clear" w:color="auto" w:fill="auto"/>
            <w:noWrap/>
            <w:vAlign w:val="center"/>
            <w:hideMark/>
          </w:tcPr>
          <w:p w14:paraId="33CEEB9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168</w:t>
            </w:r>
          </w:p>
        </w:tc>
      </w:tr>
      <w:tr w:rsidR="00C70F0F" w:rsidRPr="00BA7367" w14:paraId="1D43DDAC" w14:textId="77777777" w:rsidTr="005E55AE">
        <w:trPr>
          <w:trHeight w:hRule="exact" w:val="261"/>
          <w:jc w:val="center"/>
        </w:trPr>
        <w:tc>
          <w:tcPr>
            <w:tcW w:w="2600" w:type="dxa"/>
            <w:vMerge/>
            <w:tcBorders>
              <w:top w:val="single" w:sz="4" w:space="0" w:color="auto"/>
              <w:left w:val="single" w:sz="8" w:space="0" w:color="auto"/>
              <w:bottom w:val="single" w:sz="4" w:space="0" w:color="auto"/>
              <w:right w:val="single" w:sz="4" w:space="0" w:color="auto"/>
            </w:tcBorders>
            <w:vAlign w:val="center"/>
            <w:hideMark/>
          </w:tcPr>
          <w:p w14:paraId="1549CAF1"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AFB3127"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21998873"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44</w:t>
            </w:r>
          </w:p>
        </w:tc>
        <w:tc>
          <w:tcPr>
            <w:tcW w:w="1501" w:type="dxa"/>
            <w:tcBorders>
              <w:top w:val="nil"/>
              <w:left w:val="nil"/>
              <w:bottom w:val="single" w:sz="4" w:space="0" w:color="auto"/>
              <w:right w:val="single" w:sz="8" w:space="0" w:color="auto"/>
            </w:tcBorders>
            <w:shd w:val="clear" w:color="auto" w:fill="auto"/>
            <w:noWrap/>
            <w:vAlign w:val="center"/>
            <w:hideMark/>
          </w:tcPr>
          <w:p w14:paraId="1A14711B"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168</w:t>
            </w:r>
          </w:p>
        </w:tc>
      </w:tr>
      <w:tr w:rsidR="00C70F0F" w:rsidRPr="00BA7367" w14:paraId="3E7052E2"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F9BC030"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AVELLANEDA</w:t>
            </w:r>
          </w:p>
        </w:tc>
        <w:tc>
          <w:tcPr>
            <w:tcW w:w="3277" w:type="dxa"/>
            <w:tcBorders>
              <w:top w:val="nil"/>
              <w:left w:val="nil"/>
              <w:bottom w:val="single" w:sz="4" w:space="0" w:color="auto"/>
              <w:right w:val="single" w:sz="4" w:space="0" w:color="auto"/>
            </w:tcBorders>
            <w:shd w:val="clear" w:color="auto" w:fill="auto"/>
            <w:noWrap/>
            <w:vAlign w:val="center"/>
            <w:hideMark/>
          </w:tcPr>
          <w:p w14:paraId="2528CDD3"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ISLA MACIEL</w:t>
            </w:r>
          </w:p>
        </w:tc>
        <w:tc>
          <w:tcPr>
            <w:tcW w:w="1526" w:type="dxa"/>
            <w:tcBorders>
              <w:top w:val="nil"/>
              <w:left w:val="nil"/>
              <w:bottom w:val="single" w:sz="4" w:space="0" w:color="auto"/>
              <w:right w:val="single" w:sz="4" w:space="0" w:color="auto"/>
            </w:tcBorders>
            <w:shd w:val="clear" w:color="auto" w:fill="auto"/>
            <w:noWrap/>
            <w:vAlign w:val="center"/>
            <w:hideMark/>
          </w:tcPr>
          <w:p w14:paraId="296CF01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417</w:t>
            </w:r>
          </w:p>
        </w:tc>
        <w:tc>
          <w:tcPr>
            <w:tcW w:w="1501" w:type="dxa"/>
            <w:tcBorders>
              <w:top w:val="nil"/>
              <w:left w:val="nil"/>
              <w:bottom w:val="single" w:sz="4" w:space="0" w:color="auto"/>
              <w:right w:val="single" w:sz="8" w:space="0" w:color="auto"/>
            </w:tcBorders>
            <w:shd w:val="clear" w:color="auto" w:fill="auto"/>
            <w:noWrap/>
            <w:vAlign w:val="center"/>
            <w:hideMark/>
          </w:tcPr>
          <w:p w14:paraId="5342A2E7" w14:textId="79B6DB9F"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w:t>
            </w:r>
            <w:r w:rsidR="005E55AE" w:rsidRPr="00BA7367">
              <w:rPr>
                <w:rFonts w:eastAsia="Times New Roman" w:cs="Calibri"/>
                <w:color w:val="000000"/>
                <w:sz w:val="20"/>
                <w:szCs w:val="20"/>
              </w:rPr>
              <w:t>.</w:t>
            </w:r>
            <w:r w:rsidRPr="00BA7367">
              <w:rPr>
                <w:rFonts w:eastAsia="Times New Roman" w:cs="Calibri"/>
                <w:color w:val="000000"/>
                <w:sz w:val="20"/>
                <w:szCs w:val="20"/>
              </w:rPr>
              <w:t>097</w:t>
            </w:r>
          </w:p>
        </w:tc>
      </w:tr>
      <w:tr w:rsidR="00C70F0F" w:rsidRPr="00BA7367" w14:paraId="393C095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76286F35"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083F2C8F"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7A9D176D"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417</w:t>
            </w:r>
          </w:p>
        </w:tc>
        <w:tc>
          <w:tcPr>
            <w:tcW w:w="1501" w:type="dxa"/>
            <w:tcBorders>
              <w:top w:val="nil"/>
              <w:left w:val="nil"/>
              <w:bottom w:val="single" w:sz="4" w:space="0" w:color="auto"/>
              <w:right w:val="single" w:sz="8" w:space="0" w:color="auto"/>
            </w:tcBorders>
            <w:shd w:val="clear" w:color="auto" w:fill="auto"/>
            <w:noWrap/>
            <w:vAlign w:val="center"/>
            <w:hideMark/>
          </w:tcPr>
          <w:p w14:paraId="7798BA9D" w14:textId="77144E35"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w:t>
            </w:r>
            <w:r w:rsidR="005E55AE" w:rsidRPr="00BA7367">
              <w:rPr>
                <w:rFonts w:eastAsia="Times New Roman" w:cs="Calibri"/>
                <w:b/>
                <w:bCs/>
                <w:color w:val="000000"/>
                <w:sz w:val="20"/>
                <w:szCs w:val="20"/>
              </w:rPr>
              <w:t>.</w:t>
            </w:r>
            <w:r w:rsidRPr="00BA7367">
              <w:rPr>
                <w:rFonts w:eastAsia="Times New Roman" w:cs="Calibri"/>
                <w:b/>
                <w:bCs/>
                <w:color w:val="000000"/>
                <w:sz w:val="20"/>
                <w:szCs w:val="20"/>
              </w:rPr>
              <w:t>097</w:t>
            </w:r>
          </w:p>
        </w:tc>
      </w:tr>
      <w:tr w:rsidR="00C70F0F" w:rsidRPr="00BA7367" w14:paraId="32EF8DAF"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F3FA653"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CABA</w:t>
            </w:r>
          </w:p>
        </w:tc>
        <w:tc>
          <w:tcPr>
            <w:tcW w:w="3277" w:type="dxa"/>
            <w:tcBorders>
              <w:top w:val="nil"/>
              <w:left w:val="nil"/>
              <w:bottom w:val="single" w:sz="4" w:space="0" w:color="auto"/>
              <w:right w:val="single" w:sz="4" w:space="0" w:color="auto"/>
            </w:tcBorders>
            <w:shd w:val="clear" w:color="auto" w:fill="auto"/>
            <w:noWrap/>
            <w:vAlign w:val="center"/>
            <w:hideMark/>
          </w:tcPr>
          <w:p w14:paraId="57DC95D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OBRERO</w:t>
            </w:r>
          </w:p>
        </w:tc>
        <w:tc>
          <w:tcPr>
            <w:tcW w:w="1526" w:type="dxa"/>
            <w:tcBorders>
              <w:top w:val="nil"/>
              <w:left w:val="nil"/>
              <w:bottom w:val="single" w:sz="4" w:space="0" w:color="auto"/>
              <w:right w:val="single" w:sz="4" w:space="0" w:color="auto"/>
            </w:tcBorders>
            <w:shd w:val="clear" w:color="auto" w:fill="auto"/>
            <w:noWrap/>
            <w:vAlign w:val="center"/>
            <w:hideMark/>
          </w:tcPr>
          <w:p w14:paraId="446C60B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23</w:t>
            </w:r>
          </w:p>
        </w:tc>
        <w:tc>
          <w:tcPr>
            <w:tcW w:w="1501" w:type="dxa"/>
            <w:tcBorders>
              <w:top w:val="nil"/>
              <w:left w:val="nil"/>
              <w:bottom w:val="single" w:sz="4" w:space="0" w:color="auto"/>
              <w:right w:val="single" w:sz="8" w:space="0" w:color="auto"/>
            </w:tcBorders>
            <w:shd w:val="clear" w:color="auto" w:fill="auto"/>
            <w:noWrap/>
            <w:vAlign w:val="center"/>
            <w:hideMark/>
          </w:tcPr>
          <w:p w14:paraId="0CC66A7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57</w:t>
            </w:r>
          </w:p>
        </w:tc>
      </w:tr>
      <w:tr w:rsidR="00C70F0F" w:rsidRPr="00BA7367" w14:paraId="26CCA308"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2B1B315E"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D419EDE"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BERMEJO</w:t>
            </w:r>
          </w:p>
        </w:tc>
        <w:tc>
          <w:tcPr>
            <w:tcW w:w="1526" w:type="dxa"/>
            <w:tcBorders>
              <w:top w:val="nil"/>
              <w:left w:val="nil"/>
              <w:bottom w:val="single" w:sz="4" w:space="0" w:color="auto"/>
              <w:right w:val="single" w:sz="4" w:space="0" w:color="auto"/>
            </w:tcBorders>
            <w:shd w:val="clear" w:color="auto" w:fill="auto"/>
            <w:noWrap/>
            <w:vAlign w:val="center"/>
            <w:hideMark/>
          </w:tcPr>
          <w:p w14:paraId="69787B9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51</w:t>
            </w:r>
          </w:p>
        </w:tc>
        <w:tc>
          <w:tcPr>
            <w:tcW w:w="1501" w:type="dxa"/>
            <w:tcBorders>
              <w:top w:val="nil"/>
              <w:left w:val="nil"/>
              <w:bottom w:val="single" w:sz="4" w:space="0" w:color="auto"/>
              <w:right w:val="single" w:sz="8" w:space="0" w:color="auto"/>
            </w:tcBorders>
            <w:shd w:val="clear" w:color="auto" w:fill="auto"/>
            <w:noWrap/>
            <w:vAlign w:val="center"/>
            <w:hideMark/>
          </w:tcPr>
          <w:p w14:paraId="4E29707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172</w:t>
            </w:r>
          </w:p>
        </w:tc>
      </w:tr>
      <w:tr w:rsidR="00C70F0F" w:rsidRPr="00BA7367" w14:paraId="10EC3CD0"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139731EA"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A62A6D7"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GALPONEROS</w:t>
            </w:r>
          </w:p>
        </w:tc>
        <w:tc>
          <w:tcPr>
            <w:tcW w:w="1526" w:type="dxa"/>
            <w:tcBorders>
              <w:top w:val="nil"/>
              <w:left w:val="nil"/>
              <w:bottom w:val="single" w:sz="4" w:space="0" w:color="auto"/>
              <w:right w:val="single" w:sz="4" w:space="0" w:color="auto"/>
            </w:tcBorders>
            <w:shd w:val="clear" w:color="auto" w:fill="auto"/>
            <w:noWrap/>
            <w:vAlign w:val="center"/>
            <w:hideMark/>
          </w:tcPr>
          <w:p w14:paraId="25A74ED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15</w:t>
            </w:r>
          </w:p>
        </w:tc>
        <w:tc>
          <w:tcPr>
            <w:tcW w:w="1501" w:type="dxa"/>
            <w:tcBorders>
              <w:top w:val="nil"/>
              <w:left w:val="nil"/>
              <w:bottom w:val="single" w:sz="4" w:space="0" w:color="auto"/>
              <w:right w:val="single" w:sz="8" w:space="0" w:color="auto"/>
            </w:tcBorders>
            <w:shd w:val="clear" w:color="auto" w:fill="auto"/>
            <w:noWrap/>
            <w:vAlign w:val="center"/>
            <w:hideMark/>
          </w:tcPr>
          <w:p w14:paraId="1E89361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61</w:t>
            </w:r>
          </w:p>
        </w:tc>
      </w:tr>
      <w:tr w:rsidR="00C70F0F" w:rsidRPr="00BA7367" w14:paraId="78567787"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51E5BD18"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5943122"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LOS PILETONES</w:t>
            </w:r>
          </w:p>
        </w:tc>
        <w:tc>
          <w:tcPr>
            <w:tcW w:w="1526" w:type="dxa"/>
            <w:tcBorders>
              <w:top w:val="nil"/>
              <w:left w:val="nil"/>
              <w:bottom w:val="single" w:sz="4" w:space="0" w:color="auto"/>
              <w:right w:val="single" w:sz="4" w:space="0" w:color="auto"/>
            </w:tcBorders>
            <w:shd w:val="clear" w:color="auto" w:fill="auto"/>
            <w:noWrap/>
            <w:vAlign w:val="center"/>
            <w:hideMark/>
          </w:tcPr>
          <w:p w14:paraId="512DE96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344</w:t>
            </w:r>
          </w:p>
        </w:tc>
        <w:tc>
          <w:tcPr>
            <w:tcW w:w="1501" w:type="dxa"/>
            <w:tcBorders>
              <w:top w:val="nil"/>
              <w:left w:val="nil"/>
              <w:bottom w:val="single" w:sz="4" w:space="0" w:color="auto"/>
              <w:right w:val="single" w:sz="8" w:space="0" w:color="auto"/>
            </w:tcBorders>
            <w:shd w:val="clear" w:color="auto" w:fill="auto"/>
            <w:noWrap/>
            <w:vAlign w:val="center"/>
            <w:hideMark/>
          </w:tcPr>
          <w:p w14:paraId="695EE3C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826</w:t>
            </w:r>
          </w:p>
        </w:tc>
      </w:tr>
      <w:tr w:rsidR="00C70F0F" w:rsidRPr="00BA7367" w14:paraId="1F2017A6"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2834757F"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F8C61E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LOS PILETONES II</w:t>
            </w:r>
          </w:p>
        </w:tc>
        <w:tc>
          <w:tcPr>
            <w:tcW w:w="1526" w:type="dxa"/>
            <w:tcBorders>
              <w:top w:val="nil"/>
              <w:left w:val="nil"/>
              <w:bottom w:val="single" w:sz="4" w:space="0" w:color="auto"/>
              <w:right w:val="single" w:sz="4" w:space="0" w:color="auto"/>
            </w:tcBorders>
            <w:shd w:val="clear" w:color="auto" w:fill="auto"/>
            <w:noWrap/>
            <w:vAlign w:val="center"/>
            <w:hideMark/>
          </w:tcPr>
          <w:p w14:paraId="4795A44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80</w:t>
            </w:r>
          </w:p>
        </w:tc>
        <w:tc>
          <w:tcPr>
            <w:tcW w:w="1501" w:type="dxa"/>
            <w:tcBorders>
              <w:top w:val="nil"/>
              <w:left w:val="nil"/>
              <w:bottom w:val="single" w:sz="4" w:space="0" w:color="auto"/>
              <w:right w:val="single" w:sz="8" w:space="0" w:color="auto"/>
            </w:tcBorders>
            <w:shd w:val="clear" w:color="auto" w:fill="auto"/>
            <w:noWrap/>
            <w:vAlign w:val="center"/>
            <w:hideMark/>
          </w:tcPr>
          <w:p w14:paraId="52CD0AB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348</w:t>
            </w:r>
          </w:p>
        </w:tc>
      </w:tr>
      <w:tr w:rsidR="00C70F0F" w:rsidRPr="00BA7367" w14:paraId="72AD627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2D37EBA3"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555785C2"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MARIA AUXILIADORA</w:t>
            </w:r>
          </w:p>
        </w:tc>
        <w:tc>
          <w:tcPr>
            <w:tcW w:w="1526" w:type="dxa"/>
            <w:tcBorders>
              <w:top w:val="nil"/>
              <w:left w:val="nil"/>
              <w:bottom w:val="single" w:sz="4" w:space="0" w:color="auto"/>
              <w:right w:val="single" w:sz="4" w:space="0" w:color="auto"/>
            </w:tcBorders>
            <w:shd w:val="clear" w:color="auto" w:fill="auto"/>
            <w:noWrap/>
            <w:vAlign w:val="center"/>
            <w:hideMark/>
          </w:tcPr>
          <w:p w14:paraId="19B3508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48</w:t>
            </w:r>
          </w:p>
        </w:tc>
        <w:tc>
          <w:tcPr>
            <w:tcW w:w="1501" w:type="dxa"/>
            <w:tcBorders>
              <w:top w:val="nil"/>
              <w:left w:val="nil"/>
              <w:bottom w:val="single" w:sz="4" w:space="0" w:color="auto"/>
              <w:right w:val="single" w:sz="8" w:space="0" w:color="auto"/>
            </w:tcBorders>
            <w:shd w:val="clear" w:color="auto" w:fill="auto"/>
            <w:noWrap/>
            <w:vAlign w:val="center"/>
            <w:hideMark/>
          </w:tcPr>
          <w:p w14:paraId="0F23FCF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174</w:t>
            </w:r>
          </w:p>
        </w:tc>
      </w:tr>
      <w:tr w:rsidR="00C70F0F" w:rsidRPr="00BA7367" w14:paraId="7874ECB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0A7EA18"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4CC534A"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6DA41D0A"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561</w:t>
            </w:r>
          </w:p>
        </w:tc>
        <w:tc>
          <w:tcPr>
            <w:tcW w:w="1501" w:type="dxa"/>
            <w:tcBorders>
              <w:top w:val="nil"/>
              <w:left w:val="nil"/>
              <w:bottom w:val="single" w:sz="4" w:space="0" w:color="auto"/>
              <w:right w:val="single" w:sz="8" w:space="0" w:color="auto"/>
            </w:tcBorders>
            <w:shd w:val="clear" w:color="auto" w:fill="auto"/>
            <w:noWrap/>
            <w:vAlign w:val="center"/>
            <w:hideMark/>
          </w:tcPr>
          <w:p w14:paraId="4BFB0829" w14:textId="61093360"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w:t>
            </w:r>
            <w:r w:rsidR="005E55AE" w:rsidRPr="00BA7367">
              <w:rPr>
                <w:rFonts w:eastAsia="Times New Roman" w:cs="Calibri"/>
                <w:b/>
                <w:bCs/>
                <w:color w:val="000000"/>
                <w:sz w:val="20"/>
                <w:szCs w:val="20"/>
              </w:rPr>
              <w:t>.</w:t>
            </w:r>
            <w:r w:rsidRPr="00BA7367">
              <w:rPr>
                <w:rFonts w:eastAsia="Times New Roman" w:cs="Calibri"/>
                <w:b/>
                <w:bCs/>
                <w:color w:val="000000"/>
                <w:sz w:val="20"/>
                <w:szCs w:val="20"/>
              </w:rPr>
              <w:t>638</w:t>
            </w:r>
          </w:p>
        </w:tc>
      </w:tr>
      <w:tr w:rsidR="00C70F0F" w:rsidRPr="00BA7367" w14:paraId="715D3859"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8AA81A0"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CAÑUELAS</w:t>
            </w:r>
          </w:p>
        </w:tc>
        <w:tc>
          <w:tcPr>
            <w:tcW w:w="3277" w:type="dxa"/>
            <w:tcBorders>
              <w:top w:val="nil"/>
              <w:left w:val="nil"/>
              <w:bottom w:val="single" w:sz="4" w:space="0" w:color="auto"/>
              <w:right w:val="single" w:sz="4" w:space="0" w:color="auto"/>
            </w:tcBorders>
            <w:shd w:val="clear" w:color="auto" w:fill="auto"/>
            <w:noWrap/>
            <w:vAlign w:val="center"/>
            <w:hideMark/>
          </w:tcPr>
          <w:p w14:paraId="003B99E4"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LIBERTAD</w:t>
            </w:r>
          </w:p>
        </w:tc>
        <w:tc>
          <w:tcPr>
            <w:tcW w:w="1526" w:type="dxa"/>
            <w:tcBorders>
              <w:top w:val="nil"/>
              <w:left w:val="nil"/>
              <w:bottom w:val="single" w:sz="4" w:space="0" w:color="auto"/>
              <w:right w:val="single" w:sz="4" w:space="0" w:color="auto"/>
            </w:tcBorders>
            <w:shd w:val="clear" w:color="auto" w:fill="auto"/>
            <w:noWrap/>
            <w:vAlign w:val="center"/>
            <w:hideMark/>
          </w:tcPr>
          <w:p w14:paraId="098B6D3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334</w:t>
            </w:r>
          </w:p>
        </w:tc>
        <w:tc>
          <w:tcPr>
            <w:tcW w:w="1501" w:type="dxa"/>
            <w:tcBorders>
              <w:top w:val="nil"/>
              <w:left w:val="nil"/>
              <w:bottom w:val="single" w:sz="4" w:space="0" w:color="auto"/>
              <w:right w:val="single" w:sz="8" w:space="0" w:color="auto"/>
            </w:tcBorders>
            <w:shd w:val="clear" w:color="auto" w:fill="auto"/>
            <w:noWrap/>
            <w:vAlign w:val="center"/>
            <w:hideMark/>
          </w:tcPr>
          <w:p w14:paraId="44EA737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792</w:t>
            </w:r>
          </w:p>
        </w:tc>
      </w:tr>
      <w:tr w:rsidR="00C70F0F" w:rsidRPr="00BA7367" w14:paraId="147B22E4"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204796DC"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573386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EL OMBU</w:t>
            </w:r>
          </w:p>
        </w:tc>
        <w:tc>
          <w:tcPr>
            <w:tcW w:w="1526" w:type="dxa"/>
            <w:tcBorders>
              <w:top w:val="nil"/>
              <w:left w:val="nil"/>
              <w:bottom w:val="single" w:sz="4" w:space="0" w:color="auto"/>
              <w:right w:val="single" w:sz="4" w:space="0" w:color="auto"/>
            </w:tcBorders>
            <w:shd w:val="clear" w:color="auto" w:fill="auto"/>
            <w:noWrap/>
            <w:vAlign w:val="center"/>
            <w:hideMark/>
          </w:tcPr>
          <w:p w14:paraId="6046E5D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80</w:t>
            </w:r>
          </w:p>
        </w:tc>
        <w:tc>
          <w:tcPr>
            <w:tcW w:w="1501" w:type="dxa"/>
            <w:tcBorders>
              <w:top w:val="nil"/>
              <w:left w:val="nil"/>
              <w:bottom w:val="single" w:sz="4" w:space="0" w:color="auto"/>
              <w:right w:val="single" w:sz="8" w:space="0" w:color="auto"/>
            </w:tcBorders>
            <w:shd w:val="clear" w:color="auto" w:fill="auto"/>
            <w:noWrap/>
            <w:vAlign w:val="center"/>
            <w:hideMark/>
          </w:tcPr>
          <w:p w14:paraId="1AED163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247</w:t>
            </w:r>
          </w:p>
        </w:tc>
      </w:tr>
      <w:tr w:rsidR="00C70F0F" w:rsidRPr="00BA7367" w14:paraId="3398E573"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52F63A8D"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B31162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UNION II</w:t>
            </w:r>
          </w:p>
        </w:tc>
        <w:tc>
          <w:tcPr>
            <w:tcW w:w="1526" w:type="dxa"/>
            <w:tcBorders>
              <w:top w:val="nil"/>
              <w:left w:val="nil"/>
              <w:bottom w:val="single" w:sz="4" w:space="0" w:color="auto"/>
              <w:right w:val="single" w:sz="4" w:space="0" w:color="auto"/>
            </w:tcBorders>
            <w:shd w:val="clear" w:color="auto" w:fill="auto"/>
            <w:noWrap/>
            <w:vAlign w:val="center"/>
            <w:hideMark/>
          </w:tcPr>
          <w:p w14:paraId="352AC0D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92</w:t>
            </w:r>
          </w:p>
        </w:tc>
        <w:tc>
          <w:tcPr>
            <w:tcW w:w="1501" w:type="dxa"/>
            <w:tcBorders>
              <w:top w:val="nil"/>
              <w:left w:val="nil"/>
              <w:bottom w:val="single" w:sz="4" w:space="0" w:color="auto"/>
              <w:right w:val="single" w:sz="8" w:space="0" w:color="auto"/>
            </w:tcBorders>
            <w:shd w:val="clear" w:color="auto" w:fill="auto"/>
            <w:noWrap/>
            <w:vAlign w:val="center"/>
            <w:hideMark/>
          </w:tcPr>
          <w:p w14:paraId="4434AB3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317</w:t>
            </w:r>
          </w:p>
        </w:tc>
      </w:tr>
      <w:tr w:rsidR="00C70F0F" w:rsidRPr="00BA7367" w14:paraId="19621907"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BA7346A"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8926C80"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14592180"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506</w:t>
            </w:r>
          </w:p>
        </w:tc>
        <w:tc>
          <w:tcPr>
            <w:tcW w:w="1501" w:type="dxa"/>
            <w:tcBorders>
              <w:top w:val="nil"/>
              <w:left w:val="nil"/>
              <w:bottom w:val="single" w:sz="4" w:space="0" w:color="auto"/>
              <w:right w:val="single" w:sz="8" w:space="0" w:color="auto"/>
            </w:tcBorders>
            <w:shd w:val="clear" w:color="auto" w:fill="auto"/>
            <w:noWrap/>
            <w:vAlign w:val="center"/>
            <w:hideMark/>
          </w:tcPr>
          <w:p w14:paraId="3A66EB6A" w14:textId="3904C7E9"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w:t>
            </w:r>
            <w:r w:rsidR="005E55AE" w:rsidRPr="00BA7367">
              <w:rPr>
                <w:rFonts w:eastAsia="Times New Roman" w:cs="Calibri"/>
                <w:b/>
                <w:bCs/>
                <w:color w:val="000000"/>
                <w:sz w:val="20"/>
                <w:szCs w:val="20"/>
              </w:rPr>
              <w:t>.</w:t>
            </w:r>
            <w:r w:rsidRPr="00BA7367">
              <w:rPr>
                <w:rFonts w:eastAsia="Times New Roman" w:cs="Calibri"/>
                <w:b/>
                <w:bCs/>
                <w:color w:val="000000"/>
                <w:sz w:val="20"/>
                <w:szCs w:val="20"/>
              </w:rPr>
              <w:t>356</w:t>
            </w:r>
          </w:p>
        </w:tc>
      </w:tr>
      <w:tr w:rsidR="00C70F0F" w:rsidRPr="00BA7367" w14:paraId="5463682B"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366DB03"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ESTEBAN ECHEVERRIA</w:t>
            </w:r>
          </w:p>
        </w:tc>
        <w:tc>
          <w:tcPr>
            <w:tcW w:w="3277" w:type="dxa"/>
            <w:tcBorders>
              <w:top w:val="nil"/>
              <w:left w:val="nil"/>
              <w:bottom w:val="single" w:sz="4" w:space="0" w:color="auto"/>
              <w:right w:val="single" w:sz="4" w:space="0" w:color="auto"/>
            </w:tcBorders>
            <w:shd w:val="clear" w:color="auto" w:fill="auto"/>
            <w:noWrap/>
            <w:vAlign w:val="center"/>
            <w:hideMark/>
          </w:tcPr>
          <w:p w14:paraId="7BECE824"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9 DE ENERO/ LOS ALAMOS</w:t>
            </w:r>
          </w:p>
        </w:tc>
        <w:tc>
          <w:tcPr>
            <w:tcW w:w="1526" w:type="dxa"/>
            <w:tcBorders>
              <w:top w:val="nil"/>
              <w:left w:val="nil"/>
              <w:bottom w:val="single" w:sz="4" w:space="0" w:color="auto"/>
              <w:right w:val="single" w:sz="4" w:space="0" w:color="auto"/>
            </w:tcBorders>
            <w:shd w:val="clear" w:color="auto" w:fill="auto"/>
            <w:noWrap/>
            <w:vAlign w:val="center"/>
            <w:hideMark/>
          </w:tcPr>
          <w:p w14:paraId="4A92960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181</w:t>
            </w:r>
          </w:p>
        </w:tc>
        <w:tc>
          <w:tcPr>
            <w:tcW w:w="1501" w:type="dxa"/>
            <w:tcBorders>
              <w:top w:val="nil"/>
              <w:left w:val="nil"/>
              <w:bottom w:val="single" w:sz="4" w:space="0" w:color="auto"/>
              <w:right w:val="single" w:sz="8" w:space="0" w:color="auto"/>
            </w:tcBorders>
            <w:shd w:val="clear" w:color="auto" w:fill="auto"/>
            <w:noWrap/>
            <w:vAlign w:val="center"/>
            <w:hideMark/>
          </w:tcPr>
          <w:p w14:paraId="74935CF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613</w:t>
            </w:r>
          </w:p>
        </w:tc>
      </w:tr>
      <w:tr w:rsidR="00C70F0F" w:rsidRPr="00BA7367" w14:paraId="7D8AF64D"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4A0290B"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0F53424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EL PARQUE</w:t>
            </w:r>
          </w:p>
        </w:tc>
        <w:tc>
          <w:tcPr>
            <w:tcW w:w="1526" w:type="dxa"/>
            <w:tcBorders>
              <w:top w:val="nil"/>
              <w:left w:val="nil"/>
              <w:bottom w:val="single" w:sz="4" w:space="0" w:color="auto"/>
              <w:right w:val="single" w:sz="4" w:space="0" w:color="auto"/>
            </w:tcBorders>
            <w:shd w:val="clear" w:color="auto" w:fill="auto"/>
            <w:noWrap/>
            <w:vAlign w:val="center"/>
            <w:hideMark/>
          </w:tcPr>
          <w:p w14:paraId="0823130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63</w:t>
            </w:r>
          </w:p>
        </w:tc>
        <w:tc>
          <w:tcPr>
            <w:tcW w:w="1501" w:type="dxa"/>
            <w:tcBorders>
              <w:top w:val="nil"/>
              <w:left w:val="nil"/>
              <w:bottom w:val="single" w:sz="4" w:space="0" w:color="auto"/>
              <w:right w:val="single" w:sz="8" w:space="0" w:color="auto"/>
            </w:tcBorders>
            <w:shd w:val="clear" w:color="auto" w:fill="auto"/>
            <w:noWrap/>
            <w:vAlign w:val="center"/>
            <w:hideMark/>
          </w:tcPr>
          <w:p w14:paraId="449E074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176</w:t>
            </w:r>
          </w:p>
        </w:tc>
      </w:tr>
      <w:tr w:rsidR="00C70F0F" w:rsidRPr="00BA7367" w14:paraId="0E468E9F"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5717E64D"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AEAFB67"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LAGUNA BRAVA</w:t>
            </w:r>
          </w:p>
        </w:tc>
        <w:tc>
          <w:tcPr>
            <w:tcW w:w="1526" w:type="dxa"/>
            <w:tcBorders>
              <w:top w:val="nil"/>
              <w:left w:val="nil"/>
              <w:bottom w:val="single" w:sz="4" w:space="0" w:color="auto"/>
              <w:right w:val="single" w:sz="4" w:space="0" w:color="auto"/>
            </w:tcBorders>
            <w:shd w:val="clear" w:color="auto" w:fill="auto"/>
            <w:noWrap/>
            <w:vAlign w:val="center"/>
            <w:hideMark/>
          </w:tcPr>
          <w:p w14:paraId="33BB79A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49</w:t>
            </w:r>
          </w:p>
        </w:tc>
        <w:tc>
          <w:tcPr>
            <w:tcW w:w="1501" w:type="dxa"/>
            <w:tcBorders>
              <w:top w:val="nil"/>
              <w:left w:val="nil"/>
              <w:bottom w:val="single" w:sz="4" w:space="0" w:color="auto"/>
              <w:right w:val="single" w:sz="8" w:space="0" w:color="auto"/>
            </w:tcBorders>
            <w:shd w:val="clear" w:color="auto" w:fill="auto"/>
            <w:noWrap/>
            <w:vAlign w:val="center"/>
            <w:hideMark/>
          </w:tcPr>
          <w:p w14:paraId="3A37EB3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72</w:t>
            </w:r>
          </w:p>
        </w:tc>
      </w:tr>
      <w:tr w:rsidR="00C70F0F" w:rsidRPr="00BA7367" w14:paraId="37973E5C"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3DA18BE"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0F40698"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LAS TORRES</w:t>
            </w:r>
          </w:p>
        </w:tc>
        <w:tc>
          <w:tcPr>
            <w:tcW w:w="1526" w:type="dxa"/>
            <w:tcBorders>
              <w:top w:val="nil"/>
              <w:left w:val="nil"/>
              <w:bottom w:val="single" w:sz="4" w:space="0" w:color="auto"/>
              <w:right w:val="single" w:sz="4" w:space="0" w:color="auto"/>
            </w:tcBorders>
            <w:shd w:val="clear" w:color="auto" w:fill="auto"/>
            <w:noWrap/>
            <w:vAlign w:val="center"/>
            <w:hideMark/>
          </w:tcPr>
          <w:p w14:paraId="4CADB95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388</w:t>
            </w:r>
          </w:p>
        </w:tc>
        <w:tc>
          <w:tcPr>
            <w:tcW w:w="1501" w:type="dxa"/>
            <w:tcBorders>
              <w:top w:val="nil"/>
              <w:left w:val="nil"/>
              <w:bottom w:val="single" w:sz="4" w:space="0" w:color="auto"/>
              <w:right w:val="single" w:sz="8" w:space="0" w:color="auto"/>
            </w:tcBorders>
            <w:shd w:val="clear" w:color="auto" w:fill="auto"/>
            <w:noWrap/>
            <w:vAlign w:val="center"/>
            <w:hideMark/>
          </w:tcPr>
          <w:p w14:paraId="3FABA9A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727</w:t>
            </w:r>
          </w:p>
        </w:tc>
      </w:tr>
      <w:tr w:rsidR="00C70F0F" w:rsidRPr="00BA7367" w14:paraId="2DD5E6F0"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0402417"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7B569EF"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CARLOS</w:t>
            </w:r>
          </w:p>
        </w:tc>
        <w:tc>
          <w:tcPr>
            <w:tcW w:w="1526" w:type="dxa"/>
            <w:tcBorders>
              <w:top w:val="nil"/>
              <w:left w:val="nil"/>
              <w:bottom w:val="single" w:sz="4" w:space="0" w:color="auto"/>
              <w:right w:val="single" w:sz="4" w:space="0" w:color="auto"/>
            </w:tcBorders>
            <w:shd w:val="clear" w:color="auto" w:fill="auto"/>
            <w:noWrap/>
            <w:vAlign w:val="center"/>
            <w:hideMark/>
          </w:tcPr>
          <w:p w14:paraId="05ADDF0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109</w:t>
            </w:r>
          </w:p>
        </w:tc>
        <w:tc>
          <w:tcPr>
            <w:tcW w:w="1501" w:type="dxa"/>
            <w:tcBorders>
              <w:top w:val="nil"/>
              <w:left w:val="nil"/>
              <w:bottom w:val="single" w:sz="4" w:space="0" w:color="auto"/>
              <w:right w:val="single" w:sz="8" w:space="0" w:color="auto"/>
            </w:tcBorders>
            <w:shd w:val="clear" w:color="auto" w:fill="auto"/>
            <w:noWrap/>
            <w:vAlign w:val="center"/>
            <w:hideMark/>
          </w:tcPr>
          <w:p w14:paraId="7A51C3E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375</w:t>
            </w:r>
          </w:p>
        </w:tc>
      </w:tr>
      <w:tr w:rsidR="00C70F0F" w:rsidRPr="00BA7367" w14:paraId="2F894CA0"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20953A4"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3ADA74DF"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CARLOS OESTE</w:t>
            </w:r>
          </w:p>
        </w:tc>
        <w:tc>
          <w:tcPr>
            <w:tcW w:w="1526" w:type="dxa"/>
            <w:tcBorders>
              <w:top w:val="nil"/>
              <w:left w:val="nil"/>
              <w:bottom w:val="single" w:sz="4" w:space="0" w:color="auto"/>
              <w:right w:val="single" w:sz="4" w:space="0" w:color="auto"/>
            </w:tcBorders>
            <w:shd w:val="clear" w:color="auto" w:fill="auto"/>
            <w:noWrap/>
            <w:vAlign w:val="center"/>
            <w:hideMark/>
          </w:tcPr>
          <w:p w14:paraId="69C274F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10</w:t>
            </w:r>
          </w:p>
        </w:tc>
        <w:tc>
          <w:tcPr>
            <w:tcW w:w="1501" w:type="dxa"/>
            <w:tcBorders>
              <w:top w:val="nil"/>
              <w:left w:val="nil"/>
              <w:bottom w:val="single" w:sz="4" w:space="0" w:color="auto"/>
              <w:right w:val="single" w:sz="8" w:space="0" w:color="auto"/>
            </w:tcBorders>
            <w:shd w:val="clear" w:color="auto" w:fill="auto"/>
            <w:noWrap/>
            <w:vAlign w:val="center"/>
            <w:hideMark/>
          </w:tcPr>
          <w:p w14:paraId="640F06E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w:t>
            </w:r>
          </w:p>
        </w:tc>
      </w:tr>
      <w:tr w:rsidR="00C70F0F" w:rsidRPr="00BA7367" w14:paraId="760BEA66"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14D5524"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4EC816B3"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TRASRADIO</w:t>
            </w:r>
          </w:p>
        </w:tc>
        <w:tc>
          <w:tcPr>
            <w:tcW w:w="1526" w:type="dxa"/>
            <w:tcBorders>
              <w:top w:val="nil"/>
              <w:left w:val="nil"/>
              <w:bottom w:val="single" w:sz="4" w:space="0" w:color="auto"/>
              <w:right w:val="single" w:sz="4" w:space="0" w:color="auto"/>
            </w:tcBorders>
            <w:shd w:val="clear" w:color="auto" w:fill="auto"/>
            <w:noWrap/>
            <w:vAlign w:val="center"/>
            <w:hideMark/>
          </w:tcPr>
          <w:p w14:paraId="6D1BBBF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84</w:t>
            </w:r>
          </w:p>
        </w:tc>
        <w:tc>
          <w:tcPr>
            <w:tcW w:w="1501" w:type="dxa"/>
            <w:tcBorders>
              <w:top w:val="nil"/>
              <w:left w:val="nil"/>
              <w:bottom w:val="single" w:sz="4" w:space="0" w:color="auto"/>
              <w:right w:val="single" w:sz="8" w:space="0" w:color="auto"/>
            </w:tcBorders>
            <w:shd w:val="clear" w:color="auto" w:fill="auto"/>
            <w:noWrap/>
            <w:vAlign w:val="center"/>
            <w:hideMark/>
          </w:tcPr>
          <w:p w14:paraId="5C063AD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283</w:t>
            </w:r>
          </w:p>
        </w:tc>
      </w:tr>
      <w:tr w:rsidR="00C70F0F" w:rsidRPr="00BA7367" w14:paraId="454ADC4E"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22C2FE9"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3436C401"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340A2358"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884</w:t>
            </w:r>
          </w:p>
        </w:tc>
        <w:tc>
          <w:tcPr>
            <w:tcW w:w="1501" w:type="dxa"/>
            <w:tcBorders>
              <w:top w:val="nil"/>
              <w:left w:val="nil"/>
              <w:bottom w:val="single" w:sz="4" w:space="0" w:color="auto"/>
              <w:right w:val="single" w:sz="8" w:space="0" w:color="auto"/>
            </w:tcBorders>
            <w:shd w:val="clear" w:color="auto" w:fill="auto"/>
            <w:noWrap/>
            <w:vAlign w:val="center"/>
            <w:hideMark/>
          </w:tcPr>
          <w:p w14:paraId="03FABDAA" w14:textId="07760DEA"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2</w:t>
            </w:r>
            <w:r w:rsidR="005E55AE" w:rsidRPr="00BA7367">
              <w:rPr>
                <w:rFonts w:eastAsia="Times New Roman" w:cs="Calibri"/>
                <w:b/>
                <w:bCs/>
                <w:color w:val="000000"/>
                <w:sz w:val="20"/>
                <w:szCs w:val="20"/>
              </w:rPr>
              <w:t>.</w:t>
            </w:r>
            <w:r w:rsidRPr="00BA7367">
              <w:rPr>
                <w:rFonts w:eastAsia="Times New Roman" w:cs="Calibri"/>
                <w:b/>
                <w:bCs/>
                <w:color w:val="000000"/>
                <w:sz w:val="20"/>
                <w:szCs w:val="20"/>
              </w:rPr>
              <w:t>255</w:t>
            </w:r>
          </w:p>
        </w:tc>
      </w:tr>
      <w:tr w:rsidR="00C70F0F" w:rsidRPr="00BA7367" w14:paraId="3A1B85F9"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3F262FE"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EZEIZA</w:t>
            </w:r>
          </w:p>
        </w:tc>
        <w:tc>
          <w:tcPr>
            <w:tcW w:w="3277" w:type="dxa"/>
            <w:tcBorders>
              <w:top w:val="nil"/>
              <w:left w:val="nil"/>
              <w:bottom w:val="single" w:sz="4" w:space="0" w:color="auto"/>
              <w:right w:val="single" w:sz="4" w:space="0" w:color="auto"/>
            </w:tcBorders>
            <w:shd w:val="clear" w:color="auto" w:fill="auto"/>
            <w:noWrap/>
            <w:vAlign w:val="center"/>
            <w:hideMark/>
          </w:tcPr>
          <w:p w14:paraId="64CC8F20"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GUEMES</w:t>
            </w:r>
          </w:p>
        </w:tc>
        <w:tc>
          <w:tcPr>
            <w:tcW w:w="1526" w:type="dxa"/>
            <w:tcBorders>
              <w:top w:val="nil"/>
              <w:left w:val="nil"/>
              <w:bottom w:val="single" w:sz="4" w:space="0" w:color="auto"/>
              <w:right w:val="single" w:sz="4" w:space="0" w:color="auto"/>
            </w:tcBorders>
            <w:shd w:val="clear" w:color="auto" w:fill="auto"/>
            <w:noWrap/>
            <w:vAlign w:val="center"/>
            <w:hideMark/>
          </w:tcPr>
          <w:p w14:paraId="169BAB3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126</w:t>
            </w:r>
          </w:p>
        </w:tc>
        <w:tc>
          <w:tcPr>
            <w:tcW w:w="1501" w:type="dxa"/>
            <w:tcBorders>
              <w:top w:val="nil"/>
              <w:left w:val="nil"/>
              <w:bottom w:val="single" w:sz="4" w:space="0" w:color="auto"/>
              <w:right w:val="single" w:sz="8" w:space="0" w:color="auto"/>
            </w:tcBorders>
            <w:shd w:val="clear" w:color="auto" w:fill="auto"/>
            <w:noWrap/>
            <w:vAlign w:val="center"/>
            <w:hideMark/>
          </w:tcPr>
          <w:p w14:paraId="6D037E9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470</w:t>
            </w:r>
          </w:p>
        </w:tc>
      </w:tr>
      <w:tr w:rsidR="00C70F0F" w:rsidRPr="00BA7367" w14:paraId="57301E50"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CEF80B1"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1B28DAF9"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PORTEÑA II</w:t>
            </w:r>
          </w:p>
        </w:tc>
        <w:tc>
          <w:tcPr>
            <w:tcW w:w="1526" w:type="dxa"/>
            <w:tcBorders>
              <w:top w:val="nil"/>
              <w:left w:val="nil"/>
              <w:bottom w:val="single" w:sz="4" w:space="0" w:color="auto"/>
              <w:right w:val="single" w:sz="4" w:space="0" w:color="auto"/>
            </w:tcBorders>
            <w:shd w:val="clear" w:color="auto" w:fill="auto"/>
            <w:noWrap/>
            <w:vAlign w:val="center"/>
            <w:hideMark/>
          </w:tcPr>
          <w:p w14:paraId="09653FA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274</w:t>
            </w:r>
          </w:p>
        </w:tc>
        <w:tc>
          <w:tcPr>
            <w:tcW w:w="1501" w:type="dxa"/>
            <w:tcBorders>
              <w:top w:val="nil"/>
              <w:left w:val="nil"/>
              <w:bottom w:val="single" w:sz="4" w:space="0" w:color="auto"/>
              <w:right w:val="single" w:sz="8" w:space="0" w:color="auto"/>
            </w:tcBorders>
            <w:shd w:val="clear" w:color="auto" w:fill="auto"/>
            <w:noWrap/>
            <w:vAlign w:val="center"/>
            <w:hideMark/>
          </w:tcPr>
          <w:p w14:paraId="0C4892B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604</w:t>
            </w:r>
          </w:p>
        </w:tc>
      </w:tr>
      <w:tr w:rsidR="00C70F0F" w:rsidRPr="00BA7367" w14:paraId="25A174D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6C07BBA0"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FB5DDC9"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LUJAN</w:t>
            </w:r>
          </w:p>
        </w:tc>
        <w:tc>
          <w:tcPr>
            <w:tcW w:w="1526" w:type="dxa"/>
            <w:tcBorders>
              <w:top w:val="nil"/>
              <w:left w:val="nil"/>
              <w:bottom w:val="single" w:sz="4" w:space="0" w:color="auto"/>
              <w:right w:val="single" w:sz="4" w:space="0" w:color="auto"/>
            </w:tcBorders>
            <w:shd w:val="clear" w:color="auto" w:fill="auto"/>
            <w:noWrap/>
            <w:vAlign w:val="center"/>
            <w:hideMark/>
          </w:tcPr>
          <w:p w14:paraId="7F0A612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285</w:t>
            </w:r>
          </w:p>
        </w:tc>
        <w:tc>
          <w:tcPr>
            <w:tcW w:w="1501" w:type="dxa"/>
            <w:tcBorders>
              <w:top w:val="nil"/>
              <w:left w:val="nil"/>
              <w:bottom w:val="single" w:sz="4" w:space="0" w:color="auto"/>
              <w:right w:val="single" w:sz="8" w:space="0" w:color="auto"/>
            </w:tcBorders>
            <w:shd w:val="clear" w:color="auto" w:fill="auto"/>
            <w:noWrap/>
            <w:vAlign w:val="center"/>
            <w:hideMark/>
          </w:tcPr>
          <w:p w14:paraId="4C3EF09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972</w:t>
            </w:r>
          </w:p>
        </w:tc>
      </w:tr>
      <w:tr w:rsidR="00C70F0F" w:rsidRPr="00BA7367" w14:paraId="6D2DD55E"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3E0CA36A"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05E5F9A5"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ANDRES</w:t>
            </w:r>
          </w:p>
        </w:tc>
        <w:tc>
          <w:tcPr>
            <w:tcW w:w="1526" w:type="dxa"/>
            <w:tcBorders>
              <w:top w:val="nil"/>
              <w:left w:val="nil"/>
              <w:bottom w:val="single" w:sz="4" w:space="0" w:color="auto"/>
              <w:right w:val="single" w:sz="4" w:space="0" w:color="auto"/>
            </w:tcBorders>
            <w:shd w:val="clear" w:color="auto" w:fill="auto"/>
            <w:noWrap/>
            <w:vAlign w:val="center"/>
            <w:hideMark/>
          </w:tcPr>
          <w:p w14:paraId="62A6E42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212</w:t>
            </w:r>
          </w:p>
        </w:tc>
        <w:tc>
          <w:tcPr>
            <w:tcW w:w="1501" w:type="dxa"/>
            <w:tcBorders>
              <w:top w:val="nil"/>
              <w:left w:val="nil"/>
              <w:bottom w:val="single" w:sz="4" w:space="0" w:color="auto"/>
              <w:right w:val="single" w:sz="8" w:space="0" w:color="auto"/>
            </w:tcBorders>
            <w:shd w:val="clear" w:color="auto" w:fill="auto"/>
            <w:noWrap/>
            <w:vAlign w:val="center"/>
            <w:hideMark/>
          </w:tcPr>
          <w:p w14:paraId="378B119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928</w:t>
            </w:r>
          </w:p>
        </w:tc>
      </w:tr>
      <w:tr w:rsidR="00C70F0F" w:rsidRPr="00BA7367" w14:paraId="0BBA5E5D"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125F745B"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2FF8E9D"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VISTA LINDA</w:t>
            </w:r>
          </w:p>
        </w:tc>
        <w:tc>
          <w:tcPr>
            <w:tcW w:w="1526" w:type="dxa"/>
            <w:tcBorders>
              <w:top w:val="nil"/>
              <w:left w:val="nil"/>
              <w:bottom w:val="single" w:sz="4" w:space="0" w:color="auto"/>
              <w:right w:val="single" w:sz="4" w:space="0" w:color="auto"/>
            </w:tcBorders>
            <w:shd w:val="clear" w:color="auto" w:fill="auto"/>
            <w:noWrap/>
            <w:vAlign w:val="center"/>
            <w:hideMark/>
          </w:tcPr>
          <w:p w14:paraId="510F08C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143</w:t>
            </w:r>
          </w:p>
        </w:tc>
        <w:tc>
          <w:tcPr>
            <w:tcW w:w="1501" w:type="dxa"/>
            <w:tcBorders>
              <w:top w:val="nil"/>
              <w:left w:val="nil"/>
              <w:bottom w:val="single" w:sz="4" w:space="0" w:color="auto"/>
              <w:right w:val="single" w:sz="8" w:space="0" w:color="auto"/>
            </w:tcBorders>
            <w:shd w:val="clear" w:color="auto" w:fill="auto"/>
            <w:noWrap/>
            <w:vAlign w:val="center"/>
            <w:hideMark/>
          </w:tcPr>
          <w:p w14:paraId="48D0C24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497</w:t>
            </w:r>
          </w:p>
        </w:tc>
      </w:tr>
      <w:tr w:rsidR="00C70F0F" w:rsidRPr="00BA7367" w14:paraId="78257EB5"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7C2C239"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55A1AD2B"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367D27C2"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1040</w:t>
            </w:r>
          </w:p>
        </w:tc>
        <w:tc>
          <w:tcPr>
            <w:tcW w:w="1501" w:type="dxa"/>
            <w:tcBorders>
              <w:top w:val="nil"/>
              <w:left w:val="nil"/>
              <w:bottom w:val="single" w:sz="4" w:space="0" w:color="auto"/>
              <w:right w:val="single" w:sz="8" w:space="0" w:color="auto"/>
            </w:tcBorders>
            <w:shd w:val="clear" w:color="auto" w:fill="auto"/>
            <w:noWrap/>
            <w:vAlign w:val="center"/>
            <w:hideMark/>
          </w:tcPr>
          <w:p w14:paraId="7A6B0ED8" w14:textId="57007C6F"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3</w:t>
            </w:r>
            <w:r w:rsidR="005E55AE" w:rsidRPr="00BA7367">
              <w:rPr>
                <w:rFonts w:eastAsia="Times New Roman" w:cs="Calibri"/>
                <w:b/>
                <w:bCs/>
                <w:color w:val="000000"/>
                <w:sz w:val="20"/>
                <w:szCs w:val="20"/>
              </w:rPr>
              <w:t>.</w:t>
            </w:r>
            <w:r w:rsidRPr="00BA7367">
              <w:rPr>
                <w:rFonts w:eastAsia="Times New Roman" w:cs="Calibri"/>
                <w:b/>
                <w:bCs/>
                <w:color w:val="000000"/>
                <w:sz w:val="20"/>
                <w:szCs w:val="20"/>
              </w:rPr>
              <w:t>471</w:t>
            </w:r>
          </w:p>
        </w:tc>
      </w:tr>
      <w:tr w:rsidR="00C70F0F" w:rsidRPr="00BA7367" w14:paraId="02137547"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17AEAE7"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LA MATANZA</w:t>
            </w:r>
          </w:p>
        </w:tc>
        <w:tc>
          <w:tcPr>
            <w:tcW w:w="3277" w:type="dxa"/>
            <w:tcBorders>
              <w:top w:val="nil"/>
              <w:left w:val="nil"/>
              <w:bottom w:val="single" w:sz="4" w:space="0" w:color="auto"/>
              <w:right w:val="single" w:sz="4" w:space="0" w:color="auto"/>
            </w:tcBorders>
            <w:shd w:val="clear" w:color="auto" w:fill="auto"/>
            <w:noWrap/>
            <w:vAlign w:val="center"/>
            <w:hideMark/>
          </w:tcPr>
          <w:p w14:paraId="7392713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RECOLETA I</w:t>
            </w:r>
          </w:p>
        </w:tc>
        <w:tc>
          <w:tcPr>
            <w:tcW w:w="1526" w:type="dxa"/>
            <w:tcBorders>
              <w:top w:val="nil"/>
              <w:left w:val="nil"/>
              <w:bottom w:val="single" w:sz="4" w:space="0" w:color="auto"/>
              <w:right w:val="single" w:sz="4" w:space="0" w:color="auto"/>
            </w:tcBorders>
            <w:shd w:val="clear" w:color="auto" w:fill="auto"/>
            <w:noWrap/>
            <w:vAlign w:val="center"/>
            <w:hideMark/>
          </w:tcPr>
          <w:p w14:paraId="540E27E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339</w:t>
            </w:r>
          </w:p>
        </w:tc>
        <w:tc>
          <w:tcPr>
            <w:tcW w:w="1501" w:type="dxa"/>
            <w:tcBorders>
              <w:top w:val="nil"/>
              <w:left w:val="nil"/>
              <w:bottom w:val="single" w:sz="4" w:space="0" w:color="auto"/>
              <w:right w:val="single" w:sz="8" w:space="0" w:color="auto"/>
            </w:tcBorders>
            <w:shd w:val="clear" w:color="auto" w:fill="auto"/>
            <w:noWrap/>
            <w:vAlign w:val="center"/>
            <w:hideMark/>
          </w:tcPr>
          <w:p w14:paraId="3E1D38A9" w14:textId="48B2918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w:t>
            </w:r>
            <w:r w:rsidR="005E55AE" w:rsidRPr="00BA7367">
              <w:rPr>
                <w:rFonts w:eastAsia="Times New Roman" w:cs="Calibri"/>
                <w:color w:val="000000"/>
                <w:sz w:val="20"/>
                <w:szCs w:val="20"/>
              </w:rPr>
              <w:t>.</w:t>
            </w:r>
            <w:r w:rsidRPr="00BA7367">
              <w:rPr>
                <w:rFonts w:eastAsia="Times New Roman" w:cs="Calibri"/>
                <w:color w:val="000000"/>
                <w:sz w:val="20"/>
                <w:szCs w:val="20"/>
              </w:rPr>
              <w:t>338</w:t>
            </w:r>
          </w:p>
        </w:tc>
      </w:tr>
      <w:tr w:rsidR="00C70F0F" w:rsidRPr="00BA7367" w14:paraId="6B69AEE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3F86DC04"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33B35A46"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029B1197"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339</w:t>
            </w:r>
          </w:p>
        </w:tc>
        <w:tc>
          <w:tcPr>
            <w:tcW w:w="1501" w:type="dxa"/>
            <w:tcBorders>
              <w:top w:val="nil"/>
              <w:left w:val="nil"/>
              <w:bottom w:val="single" w:sz="4" w:space="0" w:color="auto"/>
              <w:right w:val="single" w:sz="8" w:space="0" w:color="auto"/>
            </w:tcBorders>
            <w:shd w:val="clear" w:color="auto" w:fill="auto"/>
            <w:noWrap/>
            <w:vAlign w:val="center"/>
            <w:hideMark/>
          </w:tcPr>
          <w:p w14:paraId="11FE7F63" w14:textId="0585D4C5"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w:t>
            </w:r>
            <w:r w:rsidR="005E55AE" w:rsidRPr="00BA7367">
              <w:rPr>
                <w:rFonts w:eastAsia="Times New Roman" w:cs="Calibri"/>
                <w:b/>
                <w:bCs/>
                <w:color w:val="000000"/>
                <w:sz w:val="20"/>
                <w:szCs w:val="20"/>
              </w:rPr>
              <w:t>.</w:t>
            </w:r>
            <w:r w:rsidRPr="00BA7367">
              <w:rPr>
                <w:rFonts w:eastAsia="Times New Roman" w:cs="Calibri"/>
                <w:b/>
                <w:bCs/>
                <w:color w:val="000000"/>
                <w:sz w:val="20"/>
                <w:szCs w:val="20"/>
              </w:rPr>
              <w:t>338</w:t>
            </w:r>
          </w:p>
        </w:tc>
      </w:tr>
      <w:tr w:rsidR="00C70F0F" w:rsidRPr="00BA7367" w14:paraId="1D4B1C38"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0682F75"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LANUS</w:t>
            </w:r>
          </w:p>
        </w:tc>
        <w:tc>
          <w:tcPr>
            <w:tcW w:w="3277" w:type="dxa"/>
            <w:tcBorders>
              <w:top w:val="nil"/>
              <w:left w:val="nil"/>
              <w:bottom w:val="single" w:sz="4" w:space="0" w:color="auto"/>
              <w:right w:val="single" w:sz="4" w:space="0" w:color="auto"/>
            </w:tcBorders>
            <w:shd w:val="clear" w:color="auto" w:fill="auto"/>
            <w:noWrap/>
            <w:vAlign w:val="center"/>
            <w:hideMark/>
          </w:tcPr>
          <w:p w14:paraId="47F17D6F"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VILLA TALLERES</w:t>
            </w:r>
          </w:p>
        </w:tc>
        <w:tc>
          <w:tcPr>
            <w:tcW w:w="1526" w:type="dxa"/>
            <w:tcBorders>
              <w:top w:val="nil"/>
              <w:left w:val="nil"/>
              <w:bottom w:val="single" w:sz="4" w:space="0" w:color="auto"/>
              <w:right w:val="single" w:sz="4" w:space="0" w:color="auto"/>
            </w:tcBorders>
            <w:shd w:val="clear" w:color="auto" w:fill="auto"/>
            <w:noWrap/>
            <w:vAlign w:val="center"/>
            <w:hideMark/>
          </w:tcPr>
          <w:p w14:paraId="1665F4A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81</w:t>
            </w:r>
          </w:p>
        </w:tc>
        <w:tc>
          <w:tcPr>
            <w:tcW w:w="1501" w:type="dxa"/>
            <w:tcBorders>
              <w:top w:val="nil"/>
              <w:left w:val="nil"/>
              <w:bottom w:val="single" w:sz="4" w:space="0" w:color="auto"/>
              <w:right w:val="single" w:sz="8" w:space="0" w:color="auto"/>
            </w:tcBorders>
            <w:shd w:val="clear" w:color="auto" w:fill="auto"/>
            <w:noWrap/>
            <w:vAlign w:val="center"/>
            <w:hideMark/>
          </w:tcPr>
          <w:p w14:paraId="6068532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328</w:t>
            </w:r>
          </w:p>
        </w:tc>
      </w:tr>
      <w:tr w:rsidR="00C70F0F" w:rsidRPr="00BA7367" w14:paraId="22B3A2CE"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65865F64"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6F06715E"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65380E85"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81</w:t>
            </w:r>
          </w:p>
        </w:tc>
        <w:tc>
          <w:tcPr>
            <w:tcW w:w="1501" w:type="dxa"/>
            <w:tcBorders>
              <w:top w:val="nil"/>
              <w:left w:val="nil"/>
              <w:bottom w:val="single" w:sz="4" w:space="0" w:color="auto"/>
              <w:right w:val="single" w:sz="8" w:space="0" w:color="auto"/>
            </w:tcBorders>
            <w:shd w:val="clear" w:color="auto" w:fill="auto"/>
            <w:noWrap/>
            <w:vAlign w:val="center"/>
            <w:hideMark/>
          </w:tcPr>
          <w:p w14:paraId="3291E965"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328</w:t>
            </w:r>
          </w:p>
        </w:tc>
      </w:tr>
      <w:tr w:rsidR="00C70F0F" w:rsidRPr="00BA7367" w14:paraId="0982D153"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0798DE1"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LOMAS DE ZAMORA</w:t>
            </w:r>
          </w:p>
        </w:tc>
        <w:tc>
          <w:tcPr>
            <w:tcW w:w="3277" w:type="dxa"/>
            <w:tcBorders>
              <w:top w:val="nil"/>
              <w:left w:val="nil"/>
              <w:bottom w:val="single" w:sz="4" w:space="0" w:color="auto"/>
              <w:right w:val="single" w:sz="4" w:space="0" w:color="auto"/>
            </w:tcBorders>
            <w:shd w:val="clear" w:color="auto" w:fill="auto"/>
            <w:noWrap/>
            <w:vAlign w:val="center"/>
            <w:hideMark/>
          </w:tcPr>
          <w:p w14:paraId="3244D0C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1 DE OCTUBRE</w:t>
            </w:r>
          </w:p>
        </w:tc>
        <w:tc>
          <w:tcPr>
            <w:tcW w:w="1526" w:type="dxa"/>
            <w:tcBorders>
              <w:top w:val="nil"/>
              <w:left w:val="nil"/>
              <w:bottom w:val="single" w:sz="4" w:space="0" w:color="auto"/>
              <w:right w:val="single" w:sz="4" w:space="0" w:color="auto"/>
            </w:tcBorders>
            <w:shd w:val="clear" w:color="auto" w:fill="auto"/>
            <w:noWrap/>
            <w:vAlign w:val="center"/>
            <w:hideMark/>
          </w:tcPr>
          <w:p w14:paraId="150AF6B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183</w:t>
            </w:r>
          </w:p>
        </w:tc>
        <w:tc>
          <w:tcPr>
            <w:tcW w:w="1501" w:type="dxa"/>
            <w:tcBorders>
              <w:top w:val="nil"/>
              <w:left w:val="nil"/>
              <w:bottom w:val="single" w:sz="4" w:space="0" w:color="auto"/>
              <w:right w:val="single" w:sz="8" w:space="0" w:color="auto"/>
            </w:tcBorders>
            <w:shd w:val="clear" w:color="auto" w:fill="auto"/>
            <w:noWrap/>
            <w:vAlign w:val="center"/>
            <w:hideMark/>
          </w:tcPr>
          <w:p w14:paraId="60A7340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670</w:t>
            </w:r>
          </w:p>
        </w:tc>
      </w:tr>
      <w:tr w:rsidR="00C70F0F" w:rsidRPr="00BA7367" w14:paraId="4413F69D"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7AA51126"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98FE142"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2 DE MAYO</w:t>
            </w:r>
          </w:p>
        </w:tc>
        <w:tc>
          <w:tcPr>
            <w:tcW w:w="1526" w:type="dxa"/>
            <w:tcBorders>
              <w:top w:val="nil"/>
              <w:left w:val="nil"/>
              <w:bottom w:val="single" w:sz="4" w:space="0" w:color="auto"/>
              <w:right w:val="single" w:sz="4" w:space="0" w:color="auto"/>
            </w:tcBorders>
            <w:shd w:val="clear" w:color="auto" w:fill="auto"/>
            <w:noWrap/>
            <w:vAlign w:val="center"/>
            <w:hideMark/>
          </w:tcPr>
          <w:p w14:paraId="0FC15D9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135</w:t>
            </w:r>
          </w:p>
        </w:tc>
        <w:tc>
          <w:tcPr>
            <w:tcW w:w="1501" w:type="dxa"/>
            <w:tcBorders>
              <w:top w:val="nil"/>
              <w:left w:val="nil"/>
              <w:bottom w:val="single" w:sz="4" w:space="0" w:color="auto"/>
              <w:right w:val="single" w:sz="8" w:space="0" w:color="auto"/>
            </w:tcBorders>
            <w:shd w:val="clear" w:color="auto" w:fill="auto"/>
            <w:noWrap/>
            <w:vAlign w:val="center"/>
            <w:hideMark/>
          </w:tcPr>
          <w:p w14:paraId="0830680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488</w:t>
            </w:r>
          </w:p>
        </w:tc>
      </w:tr>
      <w:tr w:rsidR="00C70F0F" w:rsidRPr="00BA7367" w14:paraId="61544F8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CE8BA9A"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174B906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24 VIVIENDAS</w:t>
            </w:r>
          </w:p>
        </w:tc>
        <w:tc>
          <w:tcPr>
            <w:tcW w:w="1526" w:type="dxa"/>
            <w:tcBorders>
              <w:top w:val="nil"/>
              <w:left w:val="nil"/>
              <w:bottom w:val="single" w:sz="4" w:space="0" w:color="auto"/>
              <w:right w:val="single" w:sz="4" w:space="0" w:color="auto"/>
            </w:tcBorders>
            <w:shd w:val="clear" w:color="auto" w:fill="auto"/>
            <w:noWrap/>
            <w:vAlign w:val="center"/>
            <w:hideMark/>
          </w:tcPr>
          <w:p w14:paraId="48F036F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12</w:t>
            </w:r>
          </w:p>
        </w:tc>
        <w:tc>
          <w:tcPr>
            <w:tcW w:w="1501" w:type="dxa"/>
            <w:tcBorders>
              <w:top w:val="nil"/>
              <w:left w:val="nil"/>
              <w:bottom w:val="single" w:sz="4" w:space="0" w:color="auto"/>
              <w:right w:val="single" w:sz="8" w:space="0" w:color="auto"/>
            </w:tcBorders>
            <w:shd w:val="clear" w:color="auto" w:fill="auto"/>
            <w:noWrap/>
            <w:vAlign w:val="center"/>
            <w:hideMark/>
          </w:tcPr>
          <w:p w14:paraId="427A1A6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54</w:t>
            </w:r>
          </w:p>
        </w:tc>
      </w:tr>
      <w:tr w:rsidR="00C70F0F" w:rsidRPr="00BA7367" w14:paraId="2CC800F4"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7A7C44B6"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0C64E352"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LONJA</w:t>
            </w:r>
          </w:p>
        </w:tc>
        <w:tc>
          <w:tcPr>
            <w:tcW w:w="1526" w:type="dxa"/>
            <w:tcBorders>
              <w:top w:val="nil"/>
              <w:left w:val="nil"/>
              <w:bottom w:val="single" w:sz="4" w:space="0" w:color="auto"/>
              <w:right w:val="single" w:sz="4" w:space="0" w:color="auto"/>
            </w:tcBorders>
            <w:shd w:val="clear" w:color="auto" w:fill="auto"/>
            <w:noWrap/>
            <w:vAlign w:val="center"/>
            <w:hideMark/>
          </w:tcPr>
          <w:p w14:paraId="1571752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61</w:t>
            </w:r>
          </w:p>
        </w:tc>
        <w:tc>
          <w:tcPr>
            <w:tcW w:w="1501" w:type="dxa"/>
            <w:tcBorders>
              <w:top w:val="nil"/>
              <w:left w:val="nil"/>
              <w:bottom w:val="single" w:sz="4" w:space="0" w:color="auto"/>
              <w:right w:val="single" w:sz="8" w:space="0" w:color="auto"/>
            </w:tcBorders>
            <w:shd w:val="clear" w:color="auto" w:fill="auto"/>
            <w:noWrap/>
            <w:vAlign w:val="center"/>
            <w:hideMark/>
          </w:tcPr>
          <w:p w14:paraId="3CA8A4D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190</w:t>
            </w:r>
          </w:p>
        </w:tc>
      </w:tr>
      <w:tr w:rsidR="00C70F0F" w:rsidRPr="00BA7367" w14:paraId="29DBCE10"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FD9635D"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1C5AEA5"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LIBERTAD</w:t>
            </w:r>
          </w:p>
        </w:tc>
        <w:tc>
          <w:tcPr>
            <w:tcW w:w="1526" w:type="dxa"/>
            <w:tcBorders>
              <w:top w:val="nil"/>
              <w:left w:val="nil"/>
              <w:bottom w:val="single" w:sz="4" w:space="0" w:color="auto"/>
              <w:right w:val="single" w:sz="4" w:space="0" w:color="auto"/>
            </w:tcBorders>
            <w:shd w:val="clear" w:color="auto" w:fill="auto"/>
            <w:noWrap/>
            <w:vAlign w:val="center"/>
            <w:hideMark/>
          </w:tcPr>
          <w:p w14:paraId="37C9AAD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91</w:t>
            </w:r>
          </w:p>
        </w:tc>
        <w:tc>
          <w:tcPr>
            <w:tcW w:w="1501" w:type="dxa"/>
            <w:tcBorders>
              <w:top w:val="nil"/>
              <w:left w:val="nil"/>
              <w:bottom w:val="single" w:sz="4" w:space="0" w:color="auto"/>
              <w:right w:val="single" w:sz="8" w:space="0" w:color="auto"/>
            </w:tcBorders>
            <w:shd w:val="clear" w:color="auto" w:fill="auto"/>
            <w:noWrap/>
            <w:vAlign w:val="center"/>
            <w:hideMark/>
          </w:tcPr>
          <w:p w14:paraId="4EABA4B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440</w:t>
            </w:r>
          </w:p>
        </w:tc>
      </w:tr>
      <w:tr w:rsidR="00C70F0F" w:rsidRPr="00BA7367" w14:paraId="63054D5A"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707D08C3"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07C60F9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SOLEDAD</w:t>
            </w:r>
          </w:p>
        </w:tc>
        <w:tc>
          <w:tcPr>
            <w:tcW w:w="1526" w:type="dxa"/>
            <w:tcBorders>
              <w:top w:val="nil"/>
              <w:left w:val="nil"/>
              <w:bottom w:val="single" w:sz="4" w:space="0" w:color="auto"/>
              <w:right w:val="single" w:sz="4" w:space="0" w:color="auto"/>
            </w:tcBorders>
            <w:shd w:val="clear" w:color="auto" w:fill="auto"/>
            <w:noWrap/>
            <w:vAlign w:val="center"/>
            <w:hideMark/>
          </w:tcPr>
          <w:p w14:paraId="5450B2F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68</w:t>
            </w:r>
          </w:p>
        </w:tc>
        <w:tc>
          <w:tcPr>
            <w:tcW w:w="1501" w:type="dxa"/>
            <w:tcBorders>
              <w:top w:val="nil"/>
              <w:left w:val="nil"/>
              <w:bottom w:val="single" w:sz="4" w:space="0" w:color="auto"/>
              <w:right w:val="single" w:sz="8" w:space="0" w:color="auto"/>
            </w:tcBorders>
            <w:shd w:val="clear" w:color="auto" w:fill="auto"/>
            <w:noWrap/>
            <w:vAlign w:val="center"/>
            <w:hideMark/>
          </w:tcPr>
          <w:p w14:paraId="36EDFCB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279</w:t>
            </w:r>
          </w:p>
        </w:tc>
      </w:tr>
      <w:tr w:rsidR="00C70F0F" w:rsidRPr="00BA7367" w14:paraId="38F1C709"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5D75511B"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78B569B9"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62A5D424"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550</w:t>
            </w:r>
          </w:p>
        </w:tc>
        <w:tc>
          <w:tcPr>
            <w:tcW w:w="1501" w:type="dxa"/>
            <w:tcBorders>
              <w:top w:val="nil"/>
              <w:left w:val="nil"/>
              <w:bottom w:val="single" w:sz="4" w:space="0" w:color="auto"/>
              <w:right w:val="single" w:sz="8" w:space="0" w:color="auto"/>
            </w:tcBorders>
            <w:shd w:val="clear" w:color="auto" w:fill="auto"/>
            <w:noWrap/>
            <w:vAlign w:val="center"/>
            <w:hideMark/>
          </w:tcPr>
          <w:p w14:paraId="0EC865B0" w14:textId="7A402C2E"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2</w:t>
            </w:r>
            <w:r w:rsidR="005E55AE" w:rsidRPr="00BA7367">
              <w:rPr>
                <w:rFonts w:eastAsia="Times New Roman" w:cs="Calibri"/>
                <w:b/>
                <w:bCs/>
                <w:color w:val="000000"/>
                <w:sz w:val="20"/>
                <w:szCs w:val="20"/>
              </w:rPr>
              <w:t>.</w:t>
            </w:r>
            <w:r w:rsidRPr="00BA7367">
              <w:rPr>
                <w:rFonts w:eastAsia="Times New Roman" w:cs="Calibri"/>
                <w:b/>
                <w:bCs/>
                <w:color w:val="000000"/>
                <w:sz w:val="20"/>
                <w:szCs w:val="20"/>
              </w:rPr>
              <w:t>121</w:t>
            </w:r>
          </w:p>
        </w:tc>
      </w:tr>
      <w:tr w:rsidR="00C70F0F" w:rsidRPr="00BA7367" w14:paraId="7173C8DC"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E6D83A8"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MARCOS PAZ</w:t>
            </w:r>
          </w:p>
        </w:tc>
        <w:tc>
          <w:tcPr>
            <w:tcW w:w="3277" w:type="dxa"/>
            <w:tcBorders>
              <w:top w:val="nil"/>
              <w:left w:val="nil"/>
              <w:bottom w:val="single" w:sz="4" w:space="0" w:color="auto"/>
              <w:right w:val="single" w:sz="4" w:space="0" w:color="auto"/>
            </w:tcBorders>
            <w:shd w:val="clear" w:color="auto" w:fill="auto"/>
            <w:noWrap/>
            <w:vAlign w:val="center"/>
            <w:hideMark/>
          </w:tcPr>
          <w:p w14:paraId="3A60804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TORCHIARIO</w:t>
            </w:r>
          </w:p>
        </w:tc>
        <w:tc>
          <w:tcPr>
            <w:tcW w:w="1526" w:type="dxa"/>
            <w:tcBorders>
              <w:top w:val="nil"/>
              <w:left w:val="nil"/>
              <w:bottom w:val="single" w:sz="4" w:space="0" w:color="auto"/>
              <w:right w:val="single" w:sz="4" w:space="0" w:color="auto"/>
            </w:tcBorders>
            <w:shd w:val="clear" w:color="auto" w:fill="auto"/>
            <w:noWrap/>
            <w:vAlign w:val="center"/>
            <w:hideMark/>
          </w:tcPr>
          <w:p w14:paraId="2325D8C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78</w:t>
            </w:r>
          </w:p>
        </w:tc>
        <w:tc>
          <w:tcPr>
            <w:tcW w:w="1501" w:type="dxa"/>
            <w:tcBorders>
              <w:top w:val="nil"/>
              <w:left w:val="nil"/>
              <w:bottom w:val="single" w:sz="4" w:space="0" w:color="auto"/>
              <w:right w:val="single" w:sz="8" w:space="0" w:color="auto"/>
            </w:tcBorders>
            <w:shd w:val="clear" w:color="auto" w:fill="auto"/>
            <w:noWrap/>
            <w:vAlign w:val="center"/>
            <w:hideMark/>
          </w:tcPr>
          <w:p w14:paraId="7DF9C12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237</w:t>
            </w:r>
          </w:p>
        </w:tc>
      </w:tr>
      <w:tr w:rsidR="00C70F0F" w:rsidRPr="00BA7367" w14:paraId="03924367"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01ED9C15"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1389845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URIOSTE</w:t>
            </w:r>
          </w:p>
        </w:tc>
        <w:tc>
          <w:tcPr>
            <w:tcW w:w="1526" w:type="dxa"/>
            <w:tcBorders>
              <w:top w:val="nil"/>
              <w:left w:val="nil"/>
              <w:bottom w:val="single" w:sz="4" w:space="0" w:color="auto"/>
              <w:right w:val="single" w:sz="4" w:space="0" w:color="auto"/>
            </w:tcBorders>
            <w:shd w:val="clear" w:color="auto" w:fill="auto"/>
            <w:noWrap/>
            <w:vAlign w:val="center"/>
            <w:hideMark/>
          </w:tcPr>
          <w:p w14:paraId="1DA76FC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48</w:t>
            </w:r>
          </w:p>
        </w:tc>
        <w:tc>
          <w:tcPr>
            <w:tcW w:w="1501" w:type="dxa"/>
            <w:tcBorders>
              <w:top w:val="nil"/>
              <w:left w:val="nil"/>
              <w:bottom w:val="single" w:sz="4" w:space="0" w:color="auto"/>
              <w:right w:val="single" w:sz="8" w:space="0" w:color="auto"/>
            </w:tcBorders>
            <w:shd w:val="clear" w:color="auto" w:fill="auto"/>
            <w:noWrap/>
            <w:vAlign w:val="center"/>
            <w:hideMark/>
          </w:tcPr>
          <w:p w14:paraId="3B77F22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140</w:t>
            </w:r>
          </w:p>
        </w:tc>
      </w:tr>
      <w:tr w:rsidR="00C70F0F" w:rsidRPr="00BA7367" w14:paraId="717AB7D8"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1D30697D"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654B942F"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1F80BC9F"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126</w:t>
            </w:r>
          </w:p>
        </w:tc>
        <w:tc>
          <w:tcPr>
            <w:tcW w:w="1501" w:type="dxa"/>
            <w:tcBorders>
              <w:top w:val="nil"/>
              <w:left w:val="nil"/>
              <w:bottom w:val="single" w:sz="4" w:space="0" w:color="auto"/>
              <w:right w:val="single" w:sz="8" w:space="0" w:color="auto"/>
            </w:tcBorders>
            <w:shd w:val="clear" w:color="auto" w:fill="auto"/>
            <w:noWrap/>
            <w:vAlign w:val="center"/>
            <w:hideMark/>
          </w:tcPr>
          <w:p w14:paraId="28D0E8AB"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377</w:t>
            </w:r>
          </w:p>
        </w:tc>
      </w:tr>
      <w:tr w:rsidR="00C70F0F" w:rsidRPr="00BA7367" w14:paraId="330AF553" w14:textId="77777777" w:rsidTr="005E55AE">
        <w:trPr>
          <w:trHeight w:hRule="exact" w:val="261"/>
          <w:jc w:val="center"/>
        </w:trPr>
        <w:tc>
          <w:tcPr>
            <w:tcW w:w="26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BEBBD80"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MERLO</w:t>
            </w:r>
          </w:p>
        </w:tc>
        <w:tc>
          <w:tcPr>
            <w:tcW w:w="3277" w:type="dxa"/>
            <w:tcBorders>
              <w:top w:val="nil"/>
              <w:left w:val="nil"/>
              <w:bottom w:val="single" w:sz="4" w:space="0" w:color="auto"/>
              <w:right w:val="single" w:sz="4" w:space="0" w:color="auto"/>
            </w:tcBorders>
            <w:shd w:val="clear" w:color="auto" w:fill="auto"/>
            <w:noWrap/>
            <w:vAlign w:val="center"/>
            <w:hideMark/>
          </w:tcPr>
          <w:p w14:paraId="6DD19DDB"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NUEVO</w:t>
            </w:r>
          </w:p>
        </w:tc>
        <w:tc>
          <w:tcPr>
            <w:tcW w:w="1526" w:type="dxa"/>
            <w:tcBorders>
              <w:top w:val="nil"/>
              <w:left w:val="nil"/>
              <w:bottom w:val="single" w:sz="4" w:space="0" w:color="auto"/>
              <w:right w:val="single" w:sz="4" w:space="0" w:color="auto"/>
            </w:tcBorders>
            <w:shd w:val="clear" w:color="auto" w:fill="auto"/>
            <w:noWrap/>
            <w:vAlign w:val="center"/>
            <w:hideMark/>
          </w:tcPr>
          <w:p w14:paraId="1DA1C9E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287</w:t>
            </w:r>
          </w:p>
        </w:tc>
        <w:tc>
          <w:tcPr>
            <w:tcW w:w="1501" w:type="dxa"/>
            <w:tcBorders>
              <w:top w:val="nil"/>
              <w:left w:val="nil"/>
              <w:bottom w:val="single" w:sz="4" w:space="0" w:color="auto"/>
              <w:right w:val="single" w:sz="8" w:space="0" w:color="auto"/>
            </w:tcBorders>
            <w:shd w:val="clear" w:color="auto" w:fill="auto"/>
            <w:noWrap/>
            <w:vAlign w:val="center"/>
            <w:hideMark/>
          </w:tcPr>
          <w:p w14:paraId="62CB79C2" w14:textId="05611D8A"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w:t>
            </w:r>
            <w:r w:rsidR="005E55AE" w:rsidRPr="00BA7367">
              <w:rPr>
                <w:rFonts w:eastAsia="Times New Roman" w:cs="Calibri"/>
                <w:color w:val="000000"/>
                <w:sz w:val="20"/>
                <w:szCs w:val="20"/>
              </w:rPr>
              <w:t>.</w:t>
            </w:r>
            <w:r w:rsidRPr="00BA7367">
              <w:rPr>
                <w:rFonts w:eastAsia="Times New Roman" w:cs="Calibri"/>
                <w:color w:val="000000"/>
                <w:sz w:val="20"/>
                <w:szCs w:val="20"/>
              </w:rPr>
              <w:t>220</w:t>
            </w:r>
          </w:p>
        </w:tc>
      </w:tr>
      <w:tr w:rsidR="00C70F0F" w:rsidRPr="00BA7367" w14:paraId="549BD103"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6722F91"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2597B348"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TOMA</w:t>
            </w:r>
          </w:p>
        </w:tc>
        <w:tc>
          <w:tcPr>
            <w:tcW w:w="1526" w:type="dxa"/>
            <w:tcBorders>
              <w:top w:val="nil"/>
              <w:left w:val="nil"/>
              <w:bottom w:val="single" w:sz="4" w:space="0" w:color="auto"/>
              <w:right w:val="single" w:sz="4" w:space="0" w:color="auto"/>
            </w:tcBorders>
            <w:shd w:val="clear" w:color="auto" w:fill="auto"/>
            <w:noWrap/>
            <w:vAlign w:val="center"/>
            <w:hideMark/>
          </w:tcPr>
          <w:p w14:paraId="47C5905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125</w:t>
            </w:r>
          </w:p>
        </w:tc>
        <w:tc>
          <w:tcPr>
            <w:tcW w:w="1501" w:type="dxa"/>
            <w:tcBorders>
              <w:top w:val="nil"/>
              <w:left w:val="nil"/>
              <w:bottom w:val="single" w:sz="4" w:space="0" w:color="auto"/>
              <w:right w:val="single" w:sz="8" w:space="0" w:color="auto"/>
            </w:tcBorders>
            <w:shd w:val="clear" w:color="auto" w:fill="auto"/>
            <w:noWrap/>
            <w:vAlign w:val="center"/>
            <w:hideMark/>
          </w:tcPr>
          <w:p w14:paraId="013E785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489</w:t>
            </w:r>
          </w:p>
        </w:tc>
      </w:tr>
      <w:tr w:rsidR="00C70F0F" w:rsidRPr="00BA7367" w14:paraId="2A3B5BB9"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78AE4265"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50360DFB"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LAS FLORES</w:t>
            </w:r>
          </w:p>
        </w:tc>
        <w:tc>
          <w:tcPr>
            <w:tcW w:w="1526" w:type="dxa"/>
            <w:tcBorders>
              <w:top w:val="nil"/>
              <w:left w:val="nil"/>
              <w:bottom w:val="single" w:sz="4" w:space="0" w:color="auto"/>
              <w:right w:val="single" w:sz="4" w:space="0" w:color="auto"/>
            </w:tcBorders>
            <w:shd w:val="clear" w:color="auto" w:fill="auto"/>
            <w:noWrap/>
            <w:vAlign w:val="center"/>
            <w:hideMark/>
          </w:tcPr>
          <w:p w14:paraId="44C3489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313</w:t>
            </w:r>
          </w:p>
        </w:tc>
        <w:tc>
          <w:tcPr>
            <w:tcW w:w="1501" w:type="dxa"/>
            <w:tcBorders>
              <w:top w:val="nil"/>
              <w:left w:val="nil"/>
              <w:bottom w:val="single" w:sz="4" w:space="0" w:color="auto"/>
              <w:right w:val="single" w:sz="8" w:space="0" w:color="auto"/>
            </w:tcBorders>
            <w:shd w:val="clear" w:color="auto" w:fill="auto"/>
            <w:noWrap/>
            <w:vAlign w:val="center"/>
            <w:hideMark/>
          </w:tcPr>
          <w:p w14:paraId="12C4FD70" w14:textId="369ECE6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w:t>
            </w:r>
            <w:r w:rsidR="005E55AE" w:rsidRPr="00BA7367">
              <w:rPr>
                <w:rFonts w:eastAsia="Times New Roman" w:cs="Calibri"/>
                <w:color w:val="000000"/>
                <w:sz w:val="20"/>
                <w:szCs w:val="20"/>
              </w:rPr>
              <w:t>.</w:t>
            </w:r>
            <w:r w:rsidRPr="00BA7367">
              <w:rPr>
                <w:rFonts w:eastAsia="Times New Roman" w:cs="Calibri"/>
                <w:color w:val="000000"/>
                <w:sz w:val="20"/>
                <w:szCs w:val="20"/>
              </w:rPr>
              <w:t>288</w:t>
            </w:r>
          </w:p>
        </w:tc>
      </w:tr>
      <w:tr w:rsidR="00C70F0F" w:rsidRPr="00BA7367" w14:paraId="5EDA86AD" w14:textId="77777777" w:rsidTr="005E55AE">
        <w:trPr>
          <w:trHeight w:hRule="exact" w:val="261"/>
          <w:jc w:val="center"/>
        </w:trPr>
        <w:tc>
          <w:tcPr>
            <w:tcW w:w="2600" w:type="dxa"/>
            <w:vMerge/>
            <w:tcBorders>
              <w:top w:val="nil"/>
              <w:left w:val="single" w:sz="8" w:space="0" w:color="auto"/>
              <w:bottom w:val="single" w:sz="4" w:space="0" w:color="auto"/>
              <w:right w:val="single" w:sz="4" w:space="0" w:color="auto"/>
            </w:tcBorders>
            <w:vAlign w:val="center"/>
            <w:hideMark/>
          </w:tcPr>
          <w:p w14:paraId="423A9E3A" w14:textId="77777777" w:rsidR="00C70F0F" w:rsidRPr="00BA7367" w:rsidRDefault="00C70F0F" w:rsidP="00C70F0F">
            <w:pPr>
              <w:spacing w:line="240" w:lineRule="auto"/>
              <w:rPr>
                <w:rFonts w:eastAsia="Times New Roman" w:cs="Calibri"/>
                <w:b/>
                <w:bCs/>
                <w:color w:val="000000"/>
                <w:sz w:val="20"/>
                <w:szCs w:val="20"/>
              </w:rPr>
            </w:pPr>
          </w:p>
        </w:tc>
        <w:tc>
          <w:tcPr>
            <w:tcW w:w="3277" w:type="dxa"/>
            <w:tcBorders>
              <w:top w:val="nil"/>
              <w:left w:val="nil"/>
              <w:bottom w:val="single" w:sz="4" w:space="0" w:color="auto"/>
              <w:right w:val="single" w:sz="4" w:space="0" w:color="auto"/>
            </w:tcBorders>
            <w:shd w:val="clear" w:color="auto" w:fill="auto"/>
            <w:noWrap/>
            <w:vAlign w:val="center"/>
            <w:hideMark/>
          </w:tcPr>
          <w:p w14:paraId="5DD4DEA0" w14:textId="77777777" w:rsidR="00C70F0F" w:rsidRPr="00BA7367" w:rsidRDefault="00C70F0F" w:rsidP="00C70F0F">
            <w:pPr>
              <w:spacing w:line="240" w:lineRule="auto"/>
              <w:rPr>
                <w:rFonts w:eastAsia="Times New Roman" w:cs="Calibri"/>
                <w:b/>
                <w:bCs/>
                <w:color w:val="000000"/>
                <w:sz w:val="20"/>
                <w:szCs w:val="20"/>
              </w:rPr>
            </w:pPr>
            <w:r w:rsidRPr="00BA7367">
              <w:rPr>
                <w:rFonts w:eastAsia="Times New Roman" w:cs="Calibri"/>
                <w:b/>
                <w:bCs/>
                <w:color w:val="000000"/>
                <w:sz w:val="20"/>
                <w:szCs w:val="20"/>
              </w:rPr>
              <w:t>Total municipio</w:t>
            </w:r>
          </w:p>
        </w:tc>
        <w:tc>
          <w:tcPr>
            <w:tcW w:w="1526" w:type="dxa"/>
            <w:tcBorders>
              <w:top w:val="nil"/>
              <w:left w:val="nil"/>
              <w:bottom w:val="single" w:sz="4" w:space="0" w:color="auto"/>
              <w:right w:val="single" w:sz="4" w:space="0" w:color="auto"/>
            </w:tcBorders>
            <w:shd w:val="clear" w:color="auto" w:fill="auto"/>
            <w:noWrap/>
            <w:vAlign w:val="center"/>
            <w:hideMark/>
          </w:tcPr>
          <w:p w14:paraId="4A6D8BDF"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725</w:t>
            </w:r>
          </w:p>
        </w:tc>
        <w:tc>
          <w:tcPr>
            <w:tcW w:w="1501" w:type="dxa"/>
            <w:tcBorders>
              <w:top w:val="nil"/>
              <w:left w:val="nil"/>
              <w:bottom w:val="single" w:sz="4" w:space="0" w:color="auto"/>
              <w:right w:val="single" w:sz="8" w:space="0" w:color="auto"/>
            </w:tcBorders>
            <w:shd w:val="clear" w:color="auto" w:fill="auto"/>
            <w:noWrap/>
            <w:vAlign w:val="center"/>
            <w:hideMark/>
          </w:tcPr>
          <w:p w14:paraId="679BCB7E" w14:textId="55764E18"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2</w:t>
            </w:r>
            <w:r w:rsidR="005E55AE" w:rsidRPr="00BA7367">
              <w:rPr>
                <w:rFonts w:eastAsia="Times New Roman" w:cs="Calibri"/>
                <w:b/>
                <w:bCs/>
                <w:color w:val="000000"/>
                <w:sz w:val="20"/>
                <w:szCs w:val="20"/>
              </w:rPr>
              <w:t>.</w:t>
            </w:r>
            <w:r w:rsidRPr="00BA7367">
              <w:rPr>
                <w:rFonts w:eastAsia="Times New Roman" w:cs="Calibri"/>
                <w:b/>
                <w:bCs/>
                <w:color w:val="000000"/>
                <w:sz w:val="20"/>
                <w:szCs w:val="20"/>
              </w:rPr>
              <w:t>997</w:t>
            </w:r>
          </w:p>
        </w:tc>
      </w:tr>
      <w:tr w:rsidR="00C70F0F" w:rsidRPr="00BA7367" w14:paraId="7D4F11C7" w14:textId="77777777" w:rsidTr="005E55AE">
        <w:trPr>
          <w:trHeight w:hRule="exact" w:val="477"/>
          <w:jc w:val="center"/>
        </w:trPr>
        <w:tc>
          <w:tcPr>
            <w:tcW w:w="5878" w:type="dxa"/>
            <w:gridSpan w:val="2"/>
            <w:tcBorders>
              <w:top w:val="single" w:sz="4" w:space="0" w:color="auto"/>
              <w:left w:val="single" w:sz="8" w:space="0" w:color="auto"/>
              <w:bottom w:val="single" w:sz="8" w:space="0" w:color="auto"/>
              <w:right w:val="single" w:sz="4" w:space="0" w:color="auto"/>
            </w:tcBorders>
            <w:shd w:val="clear" w:color="DDEBF7" w:fill="DDEBF7"/>
            <w:noWrap/>
            <w:vAlign w:val="center"/>
            <w:hideMark/>
          </w:tcPr>
          <w:p w14:paraId="006D75E4"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Total general</w:t>
            </w:r>
          </w:p>
        </w:tc>
        <w:tc>
          <w:tcPr>
            <w:tcW w:w="1526" w:type="dxa"/>
            <w:tcBorders>
              <w:top w:val="nil"/>
              <w:left w:val="nil"/>
              <w:bottom w:val="single" w:sz="8" w:space="0" w:color="auto"/>
              <w:right w:val="single" w:sz="4" w:space="0" w:color="auto"/>
            </w:tcBorders>
            <w:shd w:val="clear" w:color="DDEBF7" w:fill="DDEBF7"/>
            <w:noWrap/>
            <w:vAlign w:val="center"/>
            <w:hideMark/>
          </w:tcPr>
          <w:p w14:paraId="0250538B" w14:textId="4BDFB415"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5</w:t>
            </w:r>
            <w:r w:rsidR="005E55AE" w:rsidRPr="00BA7367">
              <w:rPr>
                <w:rFonts w:eastAsia="Times New Roman" w:cs="Calibri"/>
                <w:b/>
                <w:bCs/>
                <w:color w:val="000000"/>
                <w:sz w:val="20"/>
                <w:szCs w:val="20"/>
              </w:rPr>
              <w:t>.</w:t>
            </w:r>
            <w:r w:rsidRPr="00BA7367">
              <w:rPr>
                <w:rFonts w:eastAsia="Times New Roman" w:cs="Calibri"/>
                <w:b/>
                <w:bCs/>
                <w:color w:val="000000"/>
                <w:sz w:val="20"/>
                <w:szCs w:val="20"/>
              </w:rPr>
              <w:t>273</w:t>
            </w:r>
          </w:p>
        </w:tc>
        <w:tc>
          <w:tcPr>
            <w:tcW w:w="1501" w:type="dxa"/>
            <w:tcBorders>
              <w:top w:val="nil"/>
              <w:left w:val="nil"/>
              <w:bottom w:val="single" w:sz="8" w:space="0" w:color="auto"/>
              <w:right w:val="single" w:sz="8" w:space="0" w:color="auto"/>
            </w:tcBorders>
            <w:shd w:val="clear" w:color="DDEBF7" w:fill="DDEBF7"/>
            <w:noWrap/>
            <w:vAlign w:val="center"/>
            <w:hideMark/>
          </w:tcPr>
          <w:p w14:paraId="5EA1B950" w14:textId="600C5DC6"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17</w:t>
            </w:r>
            <w:r w:rsidR="005E55AE" w:rsidRPr="00BA7367">
              <w:rPr>
                <w:rFonts w:eastAsia="Times New Roman" w:cs="Calibri"/>
                <w:b/>
                <w:bCs/>
                <w:color w:val="000000"/>
                <w:sz w:val="20"/>
                <w:szCs w:val="20"/>
              </w:rPr>
              <w:t>.</w:t>
            </w:r>
            <w:r w:rsidRPr="00BA7367">
              <w:rPr>
                <w:rFonts w:eastAsia="Times New Roman" w:cs="Calibri"/>
                <w:b/>
                <w:bCs/>
                <w:color w:val="000000"/>
                <w:sz w:val="20"/>
                <w:szCs w:val="20"/>
              </w:rPr>
              <w:t>146</w:t>
            </w:r>
          </w:p>
        </w:tc>
      </w:tr>
    </w:tbl>
    <w:p w14:paraId="6902BF8A" w14:textId="77777777" w:rsidR="00900D5B" w:rsidRDefault="00C70F0F">
      <w:pPr>
        <w:ind w:left="2280" w:firstLine="600"/>
      </w:pPr>
      <w:r>
        <w:rPr>
          <w:sz w:val="18"/>
          <w:szCs w:val="18"/>
        </w:rPr>
        <w:t>Fuente: elaboración propia en base a datos EISAAR</w:t>
      </w:r>
    </w:p>
    <w:p w14:paraId="297AFB9C" w14:textId="77777777" w:rsidR="00900D5B" w:rsidRDefault="00900D5B"/>
    <w:p w14:paraId="6E13476B" w14:textId="6F33FEA0" w:rsidR="00900D5B" w:rsidRPr="00BA7367" w:rsidRDefault="00C70F0F">
      <w:pPr>
        <w:ind w:firstLine="720"/>
        <w:rPr>
          <w:color w:val="000000"/>
          <w:sz w:val="22"/>
        </w:rPr>
      </w:pPr>
      <w:r w:rsidRPr="00BA7367">
        <w:rPr>
          <w:color w:val="000000"/>
          <w:sz w:val="22"/>
        </w:rPr>
        <w:t xml:space="preserve">Se observó </w:t>
      </w:r>
      <w:r w:rsidR="00714444" w:rsidRPr="00BA7367">
        <w:rPr>
          <w:color w:val="000000"/>
          <w:sz w:val="22"/>
        </w:rPr>
        <w:t>en referencia a las</w:t>
      </w:r>
      <w:r w:rsidRPr="00BA7367">
        <w:rPr>
          <w:color w:val="000000"/>
          <w:sz w:val="22"/>
        </w:rPr>
        <w:t xml:space="preserve"> pérdidas de embarazo</w:t>
      </w:r>
      <w:r w:rsidR="00714444" w:rsidRPr="00BA7367">
        <w:rPr>
          <w:color w:val="000000"/>
          <w:sz w:val="22"/>
        </w:rPr>
        <w:t>s que</w:t>
      </w:r>
      <w:r w:rsidRPr="00BA7367">
        <w:rPr>
          <w:color w:val="000000"/>
          <w:sz w:val="22"/>
        </w:rPr>
        <w:t xml:space="preserve"> fue de</w:t>
      </w:r>
      <w:r w:rsidR="00714444" w:rsidRPr="00BA7367">
        <w:rPr>
          <w:color w:val="000000"/>
          <w:sz w:val="22"/>
        </w:rPr>
        <w:t>l</w:t>
      </w:r>
      <w:r w:rsidRPr="00BA7367">
        <w:rPr>
          <w:color w:val="000000"/>
          <w:sz w:val="22"/>
        </w:rPr>
        <w:t xml:space="preserve"> </w:t>
      </w:r>
      <w:r w:rsidR="007D5290" w:rsidRPr="00BA7367">
        <w:rPr>
          <w:sz w:val="22"/>
        </w:rPr>
        <w:t>7,5</w:t>
      </w:r>
      <w:r w:rsidRPr="00BA7367">
        <w:rPr>
          <w:color w:val="000000"/>
          <w:sz w:val="22"/>
        </w:rPr>
        <w:t>% de los hogares</w:t>
      </w:r>
      <w:r w:rsidR="00714444" w:rsidRPr="00BA7367">
        <w:rPr>
          <w:color w:val="000000"/>
          <w:sz w:val="22"/>
        </w:rPr>
        <w:t xml:space="preserve"> relevados</w:t>
      </w:r>
      <w:r w:rsidRPr="00BA7367">
        <w:rPr>
          <w:color w:val="000000"/>
          <w:sz w:val="22"/>
        </w:rPr>
        <w:t xml:space="preserve">, seguido por el antecedente de nacimiento de recién nacidos pre-término en </w:t>
      </w:r>
      <w:r w:rsidR="007D5290" w:rsidRPr="00BA7367">
        <w:rPr>
          <w:sz w:val="22"/>
        </w:rPr>
        <w:t>5,2</w:t>
      </w:r>
      <w:r w:rsidRPr="00BA7367">
        <w:rPr>
          <w:color w:val="000000"/>
          <w:sz w:val="22"/>
        </w:rPr>
        <w:t xml:space="preserve">% de los hogares y de recién nacidos bajo peso el </w:t>
      </w:r>
      <w:r w:rsidR="007D5290" w:rsidRPr="00BA7367">
        <w:rPr>
          <w:sz w:val="22"/>
        </w:rPr>
        <w:t>3,2</w:t>
      </w:r>
      <w:r w:rsidRPr="00BA7367">
        <w:rPr>
          <w:color w:val="000000"/>
          <w:sz w:val="22"/>
        </w:rPr>
        <w:t>% de los hogares.</w:t>
      </w:r>
    </w:p>
    <w:p w14:paraId="74A7B31A" w14:textId="231C4D07" w:rsidR="00900D5B" w:rsidRPr="00BA7367" w:rsidRDefault="00C70F0F">
      <w:pPr>
        <w:rPr>
          <w:sz w:val="22"/>
        </w:rPr>
      </w:pPr>
      <w:r w:rsidRPr="00BA7367">
        <w:rPr>
          <w:color w:val="000000"/>
          <w:sz w:val="22"/>
        </w:rPr>
        <w:t xml:space="preserve">Los barrios </w:t>
      </w:r>
      <w:r w:rsidRPr="00BA7367">
        <w:rPr>
          <w:sz w:val="22"/>
        </w:rPr>
        <w:t>Vista Linda</w:t>
      </w:r>
      <w:r w:rsidR="00D94DD2" w:rsidRPr="00BA7367">
        <w:rPr>
          <w:sz w:val="22"/>
        </w:rPr>
        <w:t xml:space="preserve"> (Ezeiza)</w:t>
      </w:r>
      <w:r w:rsidRPr="00BA7367">
        <w:rPr>
          <w:sz w:val="22"/>
        </w:rPr>
        <w:t xml:space="preserve">, </w:t>
      </w:r>
      <w:r w:rsidR="00D94DD2" w:rsidRPr="00BA7367">
        <w:rPr>
          <w:sz w:val="22"/>
        </w:rPr>
        <w:t>Galponeros (CABA)</w:t>
      </w:r>
      <w:r w:rsidRPr="00BA7367">
        <w:rPr>
          <w:sz w:val="22"/>
        </w:rPr>
        <w:t xml:space="preserve"> y </w:t>
      </w:r>
      <w:r w:rsidR="00D94DD2" w:rsidRPr="00BA7367">
        <w:rPr>
          <w:sz w:val="22"/>
        </w:rPr>
        <w:t>Soledad (Lomas de Zamora)</w:t>
      </w:r>
      <w:r w:rsidRPr="00BA7367">
        <w:rPr>
          <w:sz w:val="22"/>
        </w:rPr>
        <w:t xml:space="preserve"> </w:t>
      </w:r>
      <w:r w:rsidRPr="00BA7367">
        <w:rPr>
          <w:color w:val="000000"/>
          <w:sz w:val="22"/>
        </w:rPr>
        <w:t>presentaron los porcentajes más elevados en cuanto a las pérdidas de embarazo, llegando hast</w:t>
      </w:r>
      <w:r w:rsidRPr="00BA7367">
        <w:rPr>
          <w:sz w:val="22"/>
        </w:rPr>
        <w:t>a el 16,8</w:t>
      </w:r>
      <w:r w:rsidRPr="00BA7367">
        <w:rPr>
          <w:color w:val="000000"/>
          <w:sz w:val="22"/>
        </w:rPr>
        <w:t xml:space="preserve">% (n= </w:t>
      </w:r>
      <w:r w:rsidRPr="00BA7367">
        <w:rPr>
          <w:sz w:val="22"/>
        </w:rPr>
        <w:t>24</w:t>
      </w:r>
      <w:r w:rsidRPr="00BA7367">
        <w:rPr>
          <w:color w:val="000000"/>
          <w:sz w:val="22"/>
        </w:rPr>
        <w:t>)</w:t>
      </w:r>
      <w:r w:rsidRPr="00BA7367">
        <w:rPr>
          <w:sz w:val="22"/>
        </w:rPr>
        <w:t xml:space="preserve"> en el caso de Vista Linda</w:t>
      </w:r>
      <w:r w:rsidRPr="00BA7367">
        <w:rPr>
          <w:color w:val="000000"/>
          <w:sz w:val="22"/>
        </w:rPr>
        <w:t xml:space="preserve">; mientras que para los nacidos pre-término se </w:t>
      </w:r>
      <w:r w:rsidRPr="00BA7367">
        <w:rPr>
          <w:sz w:val="22"/>
        </w:rPr>
        <w:t>destaca</w:t>
      </w:r>
      <w:r w:rsidR="00D94DD2" w:rsidRPr="00BA7367">
        <w:rPr>
          <w:sz w:val="22"/>
        </w:rPr>
        <w:t xml:space="preserve"> Libertad (</w:t>
      </w:r>
      <w:r w:rsidR="00744077" w:rsidRPr="00BA7367">
        <w:rPr>
          <w:sz w:val="22"/>
        </w:rPr>
        <w:t xml:space="preserve">Cañuelas) </w:t>
      </w:r>
      <w:r w:rsidRPr="00BA7367">
        <w:rPr>
          <w:color w:val="000000"/>
          <w:sz w:val="22"/>
        </w:rPr>
        <w:t xml:space="preserve">con un </w:t>
      </w:r>
      <w:r w:rsidRPr="00BA7367">
        <w:rPr>
          <w:sz w:val="22"/>
        </w:rPr>
        <w:t>con un 1</w:t>
      </w:r>
      <w:r w:rsidR="00D977A1" w:rsidRPr="00BA7367">
        <w:rPr>
          <w:sz w:val="22"/>
        </w:rPr>
        <w:t>3</w:t>
      </w:r>
      <w:r w:rsidRPr="00BA7367">
        <w:rPr>
          <w:sz w:val="22"/>
        </w:rPr>
        <w:t>,</w:t>
      </w:r>
      <w:r w:rsidR="00D977A1" w:rsidRPr="00BA7367">
        <w:rPr>
          <w:sz w:val="22"/>
        </w:rPr>
        <w:t>2</w:t>
      </w:r>
      <w:r w:rsidRPr="00BA7367">
        <w:rPr>
          <w:color w:val="000000"/>
          <w:sz w:val="22"/>
        </w:rPr>
        <w:t>% (</w:t>
      </w:r>
      <w:r w:rsidR="00D977A1" w:rsidRPr="00BA7367">
        <w:rPr>
          <w:color w:val="000000"/>
          <w:sz w:val="22"/>
        </w:rPr>
        <w:t>n=</w:t>
      </w:r>
      <w:r w:rsidR="00D977A1" w:rsidRPr="00BA7367">
        <w:rPr>
          <w:sz w:val="22"/>
        </w:rPr>
        <w:t>12</w:t>
      </w:r>
      <w:r w:rsidRPr="00BA7367">
        <w:rPr>
          <w:color w:val="000000"/>
          <w:sz w:val="22"/>
        </w:rPr>
        <w:t>).</w:t>
      </w:r>
    </w:p>
    <w:p w14:paraId="608EE78D" w14:textId="77777777" w:rsidR="00900D5B" w:rsidRPr="00BA7367" w:rsidRDefault="00900D5B">
      <w:pPr>
        <w:ind w:firstLine="0"/>
        <w:rPr>
          <w:sz w:val="22"/>
          <w:shd w:val="clear" w:color="auto" w:fill="FF9900"/>
        </w:rPr>
      </w:pPr>
    </w:p>
    <w:p w14:paraId="6555F6D8" w14:textId="797D4850" w:rsidR="00900D5B" w:rsidRPr="00BA7367" w:rsidRDefault="00C70F0F">
      <w:pPr>
        <w:ind w:firstLine="0"/>
        <w:rPr>
          <w:sz w:val="22"/>
        </w:rPr>
      </w:pPr>
      <w:r w:rsidRPr="00BA7367">
        <w:rPr>
          <w:b/>
          <w:sz w:val="22"/>
        </w:rPr>
        <w:t xml:space="preserve">Tabla </w:t>
      </w:r>
      <w:r w:rsidR="00C06348" w:rsidRPr="00BA7367">
        <w:rPr>
          <w:b/>
          <w:sz w:val="22"/>
        </w:rPr>
        <w:t>7</w:t>
      </w:r>
      <w:r w:rsidRPr="00BA7367">
        <w:rPr>
          <w:sz w:val="22"/>
        </w:rPr>
        <w:t>. Porcentaje de eventos de salud-enfermedad referidos por hogar. Barrios relevados de la CMR, enero-octubre 2019. N=5273.</w:t>
      </w:r>
    </w:p>
    <w:p w14:paraId="2DEBA884" w14:textId="77777777" w:rsidR="00900D5B" w:rsidRPr="00BA7367" w:rsidRDefault="00900D5B">
      <w:pPr>
        <w:ind w:firstLine="0"/>
        <w:jc w:val="left"/>
        <w:rPr>
          <w:sz w:val="22"/>
        </w:rPr>
      </w:pPr>
    </w:p>
    <w:tbl>
      <w:tblPr>
        <w:tblW w:w="9252" w:type="dxa"/>
        <w:jc w:val="center"/>
        <w:tblCellMar>
          <w:left w:w="70" w:type="dxa"/>
          <w:right w:w="70" w:type="dxa"/>
        </w:tblCellMar>
        <w:tblLook w:val="04A0" w:firstRow="1" w:lastRow="0" w:firstColumn="1" w:lastColumn="0" w:noHBand="0" w:noVBand="1"/>
      </w:tblPr>
      <w:tblGrid>
        <w:gridCol w:w="4553"/>
        <w:gridCol w:w="1424"/>
        <w:gridCol w:w="1566"/>
        <w:gridCol w:w="1709"/>
      </w:tblGrid>
      <w:tr w:rsidR="00C70F0F" w:rsidRPr="00BA7367" w14:paraId="549BA268" w14:textId="77777777" w:rsidTr="005E55AE">
        <w:trPr>
          <w:trHeight w:hRule="exact" w:val="1123"/>
          <w:jc w:val="center"/>
        </w:trPr>
        <w:tc>
          <w:tcPr>
            <w:tcW w:w="4553"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4ACA6F2" w14:textId="77777777" w:rsidR="00C70F0F" w:rsidRPr="00BA7367" w:rsidRDefault="00C70F0F" w:rsidP="00C70F0F">
            <w:pPr>
              <w:spacing w:line="240" w:lineRule="auto"/>
              <w:jc w:val="center"/>
              <w:rPr>
                <w:rFonts w:eastAsia="Times New Roman" w:cs="Calibri"/>
                <w:b/>
                <w:color w:val="000000"/>
                <w:sz w:val="20"/>
                <w:szCs w:val="20"/>
              </w:rPr>
            </w:pPr>
            <w:r w:rsidRPr="00BA7367">
              <w:rPr>
                <w:rFonts w:eastAsia="Times New Roman" w:cs="Calibri"/>
                <w:b/>
                <w:color w:val="000000"/>
                <w:sz w:val="20"/>
                <w:szCs w:val="20"/>
              </w:rPr>
              <w:t>Barrio</w:t>
            </w:r>
          </w:p>
        </w:tc>
        <w:tc>
          <w:tcPr>
            <w:tcW w:w="1424" w:type="dxa"/>
            <w:tcBorders>
              <w:top w:val="single" w:sz="4" w:space="0" w:color="auto"/>
              <w:left w:val="nil"/>
              <w:bottom w:val="single" w:sz="4" w:space="0" w:color="auto"/>
              <w:right w:val="single" w:sz="4" w:space="0" w:color="auto"/>
            </w:tcBorders>
            <w:shd w:val="clear" w:color="000000" w:fill="E2EFDA"/>
            <w:vAlign w:val="center"/>
            <w:hideMark/>
          </w:tcPr>
          <w:p w14:paraId="2E8D6755" w14:textId="77777777" w:rsidR="00C70F0F" w:rsidRPr="00BA7367" w:rsidRDefault="00C70F0F" w:rsidP="00C70F0F">
            <w:pPr>
              <w:spacing w:line="240" w:lineRule="auto"/>
              <w:ind w:firstLine="0"/>
              <w:jc w:val="center"/>
              <w:rPr>
                <w:rFonts w:eastAsia="Times New Roman" w:cs="Calibri"/>
                <w:b/>
                <w:color w:val="000000"/>
                <w:sz w:val="20"/>
                <w:szCs w:val="20"/>
              </w:rPr>
            </w:pPr>
            <w:r w:rsidRPr="00BA7367">
              <w:rPr>
                <w:rFonts w:eastAsia="Times New Roman" w:cs="Calibri"/>
                <w:b/>
                <w:color w:val="000000"/>
                <w:sz w:val="20"/>
                <w:szCs w:val="20"/>
              </w:rPr>
              <w:t>Pérdidas de embarazos</w:t>
            </w:r>
          </w:p>
        </w:tc>
        <w:tc>
          <w:tcPr>
            <w:tcW w:w="1566" w:type="dxa"/>
            <w:tcBorders>
              <w:top w:val="single" w:sz="4" w:space="0" w:color="auto"/>
              <w:left w:val="nil"/>
              <w:bottom w:val="single" w:sz="4" w:space="0" w:color="auto"/>
              <w:right w:val="single" w:sz="4" w:space="0" w:color="auto"/>
            </w:tcBorders>
            <w:shd w:val="clear" w:color="000000" w:fill="E2EFDA"/>
            <w:vAlign w:val="center"/>
            <w:hideMark/>
          </w:tcPr>
          <w:p w14:paraId="01C2046B" w14:textId="77777777" w:rsidR="00C70F0F" w:rsidRPr="00BA7367" w:rsidRDefault="00C70F0F" w:rsidP="00C70F0F">
            <w:pPr>
              <w:spacing w:line="240" w:lineRule="auto"/>
              <w:ind w:firstLine="0"/>
              <w:jc w:val="center"/>
              <w:rPr>
                <w:rFonts w:eastAsia="Times New Roman" w:cs="Calibri"/>
                <w:b/>
                <w:color w:val="000000"/>
                <w:sz w:val="20"/>
                <w:szCs w:val="20"/>
              </w:rPr>
            </w:pPr>
            <w:r w:rsidRPr="00BA7367">
              <w:rPr>
                <w:rFonts w:eastAsia="Times New Roman" w:cs="Calibri"/>
                <w:b/>
                <w:color w:val="000000"/>
                <w:sz w:val="20"/>
                <w:szCs w:val="20"/>
              </w:rPr>
              <w:t>Recién nacidos bajo peso</w:t>
            </w:r>
          </w:p>
        </w:tc>
        <w:tc>
          <w:tcPr>
            <w:tcW w:w="1709" w:type="dxa"/>
            <w:tcBorders>
              <w:top w:val="single" w:sz="4" w:space="0" w:color="auto"/>
              <w:left w:val="nil"/>
              <w:bottom w:val="single" w:sz="4" w:space="0" w:color="auto"/>
              <w:right w:val="single" w:sz="4" w:space="0" w:color="auto"/>
            </w:tcBorders>
            <w:shd w:val="clear" w:color="000000" w:fill="E2EFDA"/>
            <w:vAlign w:val="center"/>
            <w:hideMark/>
          </w:tcPr>
          <w:p w14:paraId="0B303CDD" w14:textId="77777777" w:rsidR="00C70F0F" w:rsidRPr="00BA7367" w:rsidRDefault="00C70F0F" w:rsidP="00C70F0F">
            <w:pPr>
              <w:spacing w:line="240" w:lineRule="auto"/>
              <w:ind w:firstLine="0"/>
              <w:jc w:val="center"/>
              <w:rPr>
                <w:rFonts w:eastAsia="Times New Roman" w:cs="Calibri"/>
                <w:b/>
                <w:color w:val="000000"/>
                <w:sz w:val="20"/>
                <w:szCs w:val="20"/>
              </w:rPr>
            </w:pPr>
            <w:r w:rsidRPr="00BA7367">
              <w:rPr>
                <w:rFonts w:eastAsia="Times New Roman" w:cs="Calibri"/>
                <w:b/>
                <w:color w:val="000000"/>
                <w:sz w:val="20"/>
                <w:szCs w:val="20"/>
              </w:rPr>
              <w:t>Recién nacidos pre-término</w:t>
            </w:r>
          </w:p>
        </w:tc>
      </w:tr>
      <w:tr w:rsidR="00C70F0F" w:rsidRPr="00BA7367" w14:paraId="3CF4CBCC"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1B2627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1 de Octubre (Lomas de Zamora)</w:t>
            </w:r>
          </w:p>
        </w:tc>
        <w:tc>
          <w:tcPr>
            <w:tcW w:w="1424" w:type="dxa"/>
            <w:tcBorders>
              <w:top w:val="nil"/>
              <w:left w:val="nil"/>
              <w:bottom w:val="single" w:sz="4" w:space="0" w:color="auto"/>
              <w:right w:val="single" w:sz="4" w:space="0" w:color="auto"/>
            </w:tcBorders>
            <w:shd w:val="clear" w:color="auto" w:fill="auto"/>
            <w:noWrap/>
            <w:vAlign w:val="center"/>
            <w:hideMark/>
          </w:tcPr>
          <w:p w14:paraId="6379237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8,7%</w:t>
            </w:r>
          </w:p>
        </w:tc>
        <w:tc>
          <w:tcPr>
            <w:tcW w:w="1566" w:type="dxa"/>
            <w:tcBorders>
              <w:top w:val="nil"/>
              <w:left w:val="nil"/>
              <w:bottom w:val="single" w:sz="4" w:space="0" w:color="auto"/>
              <w:right w:val="single" w:sz="4" w:space="0" w:color="auto"/>
            </w:tcBorders>
            <w:shd w:val="clear" w:color="auto" w:fill="auto"/>
            <w:noWrap/>
            <w:vAlign w:val="center"/>
            <w:hideMark/>
          </w:tcPr>
          <w:p w14:paraId="3953306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3,8%</w:t>
            </w:r>
          </w:p>
        </w:tc>
        <w:tc>
          <w:tcPr>
            <w:tcW w:w="1709" w:type="dxa"/>
            <w:tcBorders>
              <w:top w:val="nil"/>
              <w:left w:val="nil"/>
              <w:bottom w:val="single" w:sz="4" w:space="0" w:color="auto"/>
              <w:right w:val="single" w:sz="4" w:space="0" w:color="auto"/>
            </w:tcBorders>
            <w:shd w:val="clear" w:color="auto" w:fill="auto"/>
            <w:noWrap/>
            <w:vAlign w:val="center"/>
            <w:hideMark/>
          </w:tcPr>
          <w:p w14:paraId="4773B50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6,0%</w:t>
            </w:r>
          </w:p>
        </w:tc>
      </w:tr>
      <w:tr w:rsidR="00C70F0F" w:rsidRPr="00BA7367" w14:paraId="0F8BA715"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163B2D6D"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2 de mayo (Lomas de Zamora)</w:t>
            </w:r>
          </w:p>
        </w:tc>
        <w:tc>
          <w:tcPr>
            <w:tcW w:w="1424" w:type="dxa"/>
            <w:tcBorders>
              <w:top w:val="nil"/>
              <w:left w:val="nil"/>
              <w:bottom w:val="single" w:sz="4" w:space="0" w:color="auto"/>
              <w:right w:val="single" w:sz="4" w:space="0" w:color="auto"/>
            </w:tcBorders>
            <w:shd w:val="clear" w:color="auto" w:fill="auto"/>
            <w:noWrap/>
            <w:vAlign w:val="center"/>
            <w:hideMark/>
          </w:tcPr>
          <w:p w14:paraId="774A59A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11,1%</w:t>
            </w:r>
          </w:p>
        </w:tc>
        <w:tc>
          <w:tcPr>
            <w:tcW w:w="1566" w:type="dxa"/>
            <w:tcBorders>
              <w:top w:val="nil"/>
              <w:left w:val="nil"/>
              <w:bottom w:val="single" w:sz="4" w:space="0" w:color="auto"/>
              <w:right w:val="single" w:sz="4" w:space="0" w:color="auto"/>
            </w:tcBorders>
            <w:shd w:val="clear" w:color="auto" w:fill="auto"/>
            <w:noWrap/>
            <w:vAlign w:val="center"/>
            <w:hideMark/>
          </w:tcPr>
          <w:p w14:paraId="7A5F530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5,2%</w:t>
            </w:r>
          </w:p>
        </w:tc>
        <w:tc>
          <w:tcPr>
            <w:tcW w:w="1709" w:type="dxa"/>
            <w:tcBorders>
              <w:top w:val="nil"/>
              <w:left w:val="nil"/>
              <w:bottom w:val="single" w:sz="4" w:space="0" w:color="auto"/>
              <w:right w:val="single" w:sz="4" w:space="0" w:color="auto"/>
            </w:tcBorders>
            <w:shd w:val="clear" w:color="auto" w:fill="auto"/>
            <w:noWrap/>
            <w:vAlign w:val="center"/>
            <w:hideMark/>
          </w:tcPr>
          <w:p w14:paraId="3602413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8,1%</w:t>
            </w:r>
          </w:p>
        </w:tc>
      </w:tr>
      <w:tr w:rsidR="00C70F0F" w:rsidRPr="00BA7367" w14:paraId="205F1E20"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B957F88"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24 viviendas (Lomas de Zamora)</w:t>
            </w:r>
          </w:p>
        </w:tc>
        <w:tc>
          <w:tcPr>
            <w:tcW w:w="1424" w:type="dxa"/>
            <w:tcBorders>
              <w:top w:val="nil"/>
              <w:left w:val="nil"/>
              <w:bottom w:val="single" w:sz="4" w:space="0" w:color="auto"/>
              <w:right w:val="single" w:sz="4" w:space="0" w:color="auto"/>
            </w:tcBorders>
            <w:shd w:val="clear" w:color="auto" w:fill="auto"/>
            <w:noWrap/>
            <w:vAlign w:val="center"/>
            <w:hideMark/>
          </w:tcPr>
          <w:p w14:paraId="314A795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8,3%</w:t>
            </w:r>
          </w:p>
        </w:tc>
        <w:tc>
          <w:tcPr>
            <w:tcW w:w="1566" w:type="dxa"/>
            <w:tcBorders>
              <w:top w:val="nil"/>
              <w:left w:val="nil"/>
              <w:bottom w:val="single" w:sz="4" w:space="0" w:color="auto"/>
              <w:right w:val="single" w:sz="4" w:space="0" w:color="auto"/>
            </w:tcBorders>
            <w:shd w:val="clear" w:color="auto" w:fill="auto"/>
            <w:noWrap/>
            <w:vAlign w:val="center"/>
            <w:hideMark/>
          </w:tcPr>
          <w:p w14:paraId="111EF9D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709" w:type="dxa"/>
            <w:tcBorders>
              <w:top w:val="nil"/>
              <w:left w:val="nil"/>
              <w:bottom w:val="single" w:sz="4" w:space="0" w:color="auto"/>
              <w:right w:val="single" w:sz="4" w:space="0" w:color="auto"/>
            </w:tcBorders>
            <w:shd w:val="clear" w:color="auto" w:fill="auto"/>
            <w:noWrap/>
            <w:vAlign w:val="center"/>
            <w:hideMark/>
          </w:tcPr>
          <w:p w14:paraId="6C62ABA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8,3%</w:t>
            </w:r>
          </w:p>
        </w:tc>
      </w:tr>
      <w:tr w:rsidR="00C70F0F" w:rsidRPr="00BA7367" w14:paraId="33D67CEF" w14:textId="77777777" w:rsidTr="00D01016">
        <w:trPr>
          <w:trHeight w:hRule="exact" w:val="555"/>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1AE62D91" w14:textId="77777777" w:rsidR="005E55AE"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lastRenderedPageBreak/>
              <w:t xml:space="preserve">9 de </w:t>
            </w:r>
            <w:proofErr w:type="gramStart"/>
            <w:r w:rsidRPr="00BA7367">
              <w:rPr>
                <w:rFonts w:eastAsia="Times New Roman" w:cs="Calibri"/>
                <w:color w:val="000000"/>
                <w:sz w:val="20"/>
                <w:szCs w:val="20"/>
              </w:rPr>
              <w:t>Enero</w:t>
            </w:r>
            <w:proofErr w:type="gramEnd"/>
            <w:r w:rsidRPr="00BA7367">
              <w:rPr>
                <w:rFonts w:eastAsia="Times New Roman" w:cs="Calibri"/>
                <w:color w:val="000000"/>
                <w:sz w:val="20"/>
                <w:szCs w:val="20"/>
              </w:rPr>
              <w:t xml:space="preserve"> /Los Álamos</w:t>
            </w:r>
          </w:p>
          <w:p w14:paraId="7C1374FB" w14:textId="0B6ED3BE"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 xml:space="preserve">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117BCCB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9,4%</w:t>
            </w:r>
          </w:p>
        </w:tc>
        <w:tc>
          <w:tcPr>
            <w:tcW w:w="1566" w:type="dxa"/>
            <w:tcBorders>
              <w:top w:val="nil"/>
              <w:left w:val="nil"/>
              <w:bottom w:val="single" w:sz="4" w:space="0" w:color="auto"/>
              <w:right w:val="single" w:sz="4" w:space="0" w:color="auto"/>
            </w:tcBorders>
            <w:shd w:val="clear" w:color="auto" w:fill="auto"/>
            <w:noWrap/>
            <w:vAlign w:val="center"/>
            <w:hideMark/>
          </w:tcPr>
          <w:p w14:paraId="5568D14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3,9%</w:t>
            </w:r>
          </w:p>
        </w:tc>
        <w:tc>
          <w:tcPr>
            <w:tcW w:w="1709" w:type="dxa"/>
            <w:tcBorders>
              <w:top w:val="nil"/>
              <w:left w:val="nil"/>
              <w:bottom w:val="single" w:sz="4" w:space="0" w:color="auto"/>
              <w:right w:val="single" w:sz="4" w:space="0" w:color="auto"/>
            </w:tcBorders>
            <w:shd w:val="clear" w:color="auto" w:fill="auto"/>
            <w:noWrap/>
            <w:vAlign w:val="center"/>
            <w:hideMark/>
          </w:tcPr>
          <w:p w14:paraId="3130AFD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7,2%</w:t>
            </w:r>
          </w:p>
        </w:tc>
      </w:tr>
      <w:tr w:rsidR="00C70F0F" w:rsidRPr="00BA7367" w14:paraId="0560D115"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683AEA5"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Libertad (Cañuelas)</w:t>
            </w:r>
          </w:p>
        </w:tc>
        <w:tc>
          <w:tcPr>
            <w:tcW w:w="1424" w:type="dxa"/>
            <w:tcBorders>
              <w:top w:val="nil"/>
              <w:left w:val="nil"/>
              <w:bottom w:val="single" w:sz="4" w:space="0" w:color="auto"/>
              <w:right w:val="single" w:sz="4" w:space="0" w:color="auto"/>
            </w:tcBorders>
            <w:shd w:val="clear" w:color="auto" w:fill="auto"/>
            <w:noWrap/>
            <w:vAlign w:val="center"/>
            <w:hideMark/>
          </w:tcPr>
          <w:p w14:paraId="44CFD74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4,5%</w:t>
            </w:r>
          </w:p>
        </w:tc>
        <w:tc>
          <w:tcPr>
            <w:tcW w:w="1566" w:type="dxa"/>
            <w:tcBorders>
              <w:top w:val="nil"/>
              <w:left w:val="nil"/>
              <w:bottom w:val="single" w:sz="4" w:space="0" w:color="auto"/>
              <w:right w:val="single" w:sz="4" w:space="0" w:color="auto"/>
            </w:tcBorders>
            <w:shd w:val="clear" w:color="auto" w:fill="auto"/>
            <w:noWrap/>
            <w:vAlign w:val="center"/>
            <w:hideMark/>
          </w:tcPr>
          <w:p w14:paraId="7482380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2,4%</w:t>
            </w:r>
          </w:p>
        </w:tc>
        <w:tc>
          <w:tcPr>
            <w:tcW w:w="1709" w:type="dxa"/>
            <w:tcBorders>
              <w:top w:val="nil"/>
              <w:left w:val="nil"/>
              <w:bottom w:val="single" w:sz="4" w:space="0" w:color="auto"/>
              <w:right w:val="single" w:sz="4" w:space="0" w:color="auto"/>
            </w:tcBorders>
            <w:shd w:val="clear" w:color="auto" w:fill="auto"/>
            <w:noWrap/>
            <w:vAlign w:val="center"/>
            <w:hideMark/>
          </w:tcPr>
          <w:p w14:paraId="42AD173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w:t>
            </w:r>
          </w:p>
        </w:tc>
      </w:tr>
      <w:tr w:rsidR="00C70F0F" w:rsidRPr="00BA7367" w14:paraId="3D828B8F"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E41D144"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Nuevo (Merlo)</w:t>
            </w:r>
          </w:p>
        </w:tc>
        <w:tc>
          <w:tcPr>
            <w:tcW w:w="1424" w:type="dxa"/>
            <w:tcBorders>
              <w:top w:val="nil"/>
              <w:left w:val="nil"/>
              <w:bottom w:val="single" w:sz="4" w:space="0" w:color="auto"/>
              <w:right w:val="single" w:sz="4" w:space="0" w:color="auto"/>
            </w:tcBorders>
            <w:shd w:val="clear" w:color="auto" w:fill="auto"/>
            <w:noWrap/>
            <w:vAlign w:val="center"/>
            <w:hideMark/>
          </w:tcPr>
          <w:p w14:paraId="6E06183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10,8%</w:t>
            </w:r>
          </w:p>
        </w:tc>
        <w:tc>
          <w:tcPr>
            <w:tcW w:w="1566" w:type="dxa"/>
            <w:tcBorders>
              <w:top w:val="nil"/>
              <w:left w:val="nil"/>
              <w:bottom w:val="single" w:sz="4" w:space="0" w:color="auto"/>
              <w:right w:val="single" w:sz="4" w:space="0" w:color="auto"/>
            </w:tcBorders>
            <w:shd w:val="clear" w:color="auto" w:fill="auto"/>
            <w:noWrap/>
            <w:vAlign w:val="center"/>
            <w:hideMark/>
          </w:tcPr>
          <w:p w14:paraId="7ADBA8D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4,5%</w:t>
            </w:r>
          </w:p>
        </w:tc>
        <w:tc>
          <w:tcPr>
            <w:tcW w:w="1709" w:type="dxa"/>
            <w:tcBorders>
              <w:top w:val="nil"/>
              <w:left w:val="nil"/>
              <w:bottom w:val="single" w:sz="4" w:space="0" w:color="auto"/>
              <w:right w:val="single" w:sz="4" w:space="0" w:color="auto"/>
            </w:tcBorders>
            <w:shd w:val="clear" w:color="auto" w:fill="auto"/>
            <w:noWrap/>
            <w:vAlign w:val="center"/>
            <w:hideMark/>
          </w:tcPr>
          <w:p w14:paraId="57E9C04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6,6%</w:t>
            </w:r>
          </w:p>
        </w:tc>
      </w:tr>
      <w:tr w:rsidR="00C70F0F" w:rsidRPr="00BA7367" w14:paraId="19BDCAAF"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5430BB0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Barrio Obrero (CABA)</w:t>
            </w:r>
          </w:p>
        </w:tc>
        <w:tc>
          <w:tcPr>
            <w:tcW w:w="1424" w:type="dxa"/>
            <w:tcBorders>
              <w:top w:val="nil"/>
              <w:left w:val="nil"/>
              <w:bottom w:val="single" w:sz="4" w:space="0" w:color="auto"/>
              <w:right w:val="single" w:sz="4" w:space="0" w:color="auto"/>
            </w:tcBorders>
            <w:shd w:val="clear" w:color="auto" w:fill="auto"/>
            <w:noWrap/>
            <w:vAlign w:val="center"/>
            <w:hideMark/>
          </w:tcPr>
          <w:p w14:paraId="6C83B95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4,3%</w:t>
            </w:r>
          </w:p>
        </w:tc>
        <w:tc>
          <w:tcPr>
            <w:tcW w:w="1566" w:type="dxa"/>
            <w:tcBorders>
              <w:top w:val="nil"/>
              <w:left w:val="nil"/>
              <w:bottom w:val="single" w:sz="4" w:space="0" w:color="auto"/>
              <w:right w:val="single" w:sz="4" w:space="0" w:color="auto"/>
            </w:tcBorders>
            <w:shd w:val="clear" w:color="auto" w:fill="auto"/>
            <w:noWrap/>
            <w:vAlign w:val="center"/>
            <w:hideMark/>
          </w:tcPr>
          <w:p w14:paraId="146AD2A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4,3%</w:t>
            </w:r>
          </w:p>
        </w:tc>
        <w:tc>
          <w:tcPr>
            <w:tcW w:w="1709" w:type="dxa"/>
            <w:tcBorders>
              <w:top w:val="nil"/>
              <w:left w:val="nil"/>
              <w:bottom w:val="single" w:sz="4" w:space="0" w:color="auto"/>
              <w:right w:val="single" w:sz="4" w:space="0" w:color="auto"/>
            </w:tcBorders>
            <w:shd w:val="clear" w:color="auto" w:fill="auto"/>
            <w:noWrap/>
            <w:vAlign w:val="center"/>
            <w:hideMark/>
          </w:tcPr>
          <w:p w14:paraId="611FBDB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4,3%</w:t>
            </w:r>
          </w:p>
        </w:tc>
      </w:tr>
      <w:tr w:rsidR="00C70F0F" w:rsidRPr="00BA7367" w14:paraId="5E58EEAB"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21154DB4"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Bermejo (CABA)</w:t>
            </w:r>
          </w:p>
        </w:tc>
        <w:tc>
          <w:tcPr>
            <w:tcW w:w="1424" w:type="dxa"/>
            <w:tcBorders>
              <w:top w:val="nil"/>
              <w:left w:val="nil"/>
              <w:bottom w:val="single" w:sz="4" w:space="0" w:color="auto"/>
              <w:right w:val="single" w:sz="4" w:space="0" w:color="auto"/>
            </w:tcBorders>
            <w:shd w:val="clear" w:color="auto" w:fill="auto"/>
            <w:noWrap/>
            <w:vAlign w:val="center"/>
            <w:hideMark/>
          </w:tcPr>
          <w:p w14:paraId="4952B9B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5,9%</w:t>
            </w:r>
          </w:p>
        </w:tc>
        <w:tc>
          <w:tcPr>
            <w:tcW w:w="1566" w:type="dxa"/>
            <w:tcBorders>
              <w:top w:val="nil"/>
              <w:left w:val="nil"/>
              <w:bottom w:val="single" w:sz="4" w:space="0" w:color="auto"/>
              <w:right w:val="single" w:sz="4" w:space="0" w:color="auto"/>
            </w:tcBorders>
            <w:shd w:val="clear" w:color="auto" w:fill="auto"/>
            <w:noWrap/>
            <w:vAlign w:val="center"/>
            <w:hideMark/>
          </w:tcPr>
          <w:p w14:paraId="05ABC50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2,0%</w:t>
            </w:r>
          </w:p>
        </w:tc>
        <w:tc>
          <w:tcPr>
            <w:tcW w:w="1709" w:type="dxa"/>
            <w:tcBorders>
              <w:top w:val="nil"/>
              <w:left w:val="nil"/>
              <w:bottom w:val="single" w:sz="4" w:space="0" w:color="auto"/>
              <w:right w:val="single" w:sz="4" w:space="0" w:color="auto"/>
            </w:tcBorders>
            <w:shd w:val="clear" w:color="auto" w:fill="auto"/>
            <w:noWrap/>
            <w:vAlign w:val="center"/>
            <w:hideMark/>
          </w:tcPr>
          <w:p w14:paraId="29B34B3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3,9%</w:t>
            </w:r>
          </w:p>
        </w:tc>
      </w:tr>
      <w:tr w:rsidR="00C70F0F" w:rsidRPr="00BA7367" w14:paraId="0B560549"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14C8FBBA"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El Ombú (Cañuelas)</w:t>
            </w:r>
          </w:p>
        </w:tc>
        <w:tc>
          <w:tcPr>
            <w:tcW w:w="1424" w:type="dxa"/>
            <w:tcBorders>
              <w:top w:val="nil"/>
              <w:left w:val="nil"/>
              <w:bottom w:val="single" w:sz="4" w:space="0" w:color="auto"/>
              <w:right w:val="single" w:sz="4" w:space="0" w:color="auto"/>
            </w:tcBorders>
            <w:shd w:val="clear" w:color="auto" w:fill="auto"/>
            <w:noWrap/>
            <w:vAlign w:val="center"/>
            <w:hideMark/>
          </w:tcPr>
          <w:p w14:paraId="7D6DCDB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6,3%</w:t>
            </w:r>
          </w:p>
        </w:tc>
        <w:tc>
          <w:tcPr>
            <w:tcW w:w="1566" w:type="dxa"/>
            <w:tcBorders>
              <w:top w:val="nil"/>
              <w:left w:val="nil"/>
              <w:bottom w:val="single" w:sz="4" w:space="0" w:color="auto"/>
              <w:right w:val="single" w:sz="4" w:space="0" w:color="auto"/>
            </w:tcBorders>
            <w:shd w:val="clear" w:color="auto" w:fill="auto"/>
            <w:noWrap/>
            <w:vAlign w:val="center"/>
            <w:hideMark/>
          </w:tcPr>
          <w:p w14:paraId="787A83D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2,5%</w:t>
            </w:r>
          </w:p>
        </w:tc>
        <w:tc>
          <w:tcPr>
            <w:tcW w:w="1709" w:type="dxa"/>
            <w:tcBorders>
              <w:top w:val="nil"/>
              <w:left w:val="nil"/>
              <w:bottom w:val="single" w:sz="4" w:space="0" w:color="auto"/>
              <w:right w:val="single" w:sz="4" w:space="0" w:color="auto"/>
            </w:tcBorders>
            <w:shd w:val="clear" w:color="auto" w:fill="auto"/>
            <w:noWrap/>
            <w:vAlign w:val="center"/>
            <w:hideMark/>
          </w:tcPr>
          <w:p w14:paraId="0F214B6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5,0%</w:t>
            </w:r>
          </w:p>
        </w:tc>
      </w:tr>
      <w:tr w:rsidR="00C70F0F" w:rsidRPr="00BA7367" w14:paraId="5B6A2389"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E157FB5"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El Parque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19D139D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1,6%</w:t>
            </w:r>
          </w:p>
        </w:tc>
        <w:tc>
          <w:tcPr>
            <w:tcW w:w="1566" w:type="dxa"/>
            <w:tcBorders>
              <w:top w:val="nil"/>
              <w:left w:val="nil"/>
              <w:bottom w:val="single" w:sz="4" w:space="0" w:color="auto"/>
              <w:right w:val="single" w:sz="4" w:space="0" w:color="auto"/>
            </w:tcBorders>
            <w:shd w:val="clear" w:color="auto" w:fill="auto"/>
            <w:noWrap/>
            <w:vAlign w:val="center"/>
            <w:hideMark/>
          </w:tcPr>
          <w:p w14:paraId="0AA3D28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3,2%</w:t>
            </w:r>
          </w:p>
        </w:tc>
        <w:tc>
          <w:tcPr>
            <w:tcW w:w="1709" w:type="dxa"/>
            <w:tcBorders>
              <w:top w:val="nil"/>
              <w:left w:val="nil"/>
              <w:bottom w:val="single" w:sz="4" w:space="0" w:color="auto"/>
              <w:right w:val="single" w:sz="4" w:space="0" w:color="auto"/>
            </w:tcBorders>
            <w:shd w:val="clear" w:color="auto" w:fill="auto"/>
            <w:noWrap/>
            <w:vAlign w:val="center"/>
            <w:hideMark/>
          </w:tcPr>
          <w:p w14:paraId="49D0697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3,2%</w:t>
            </w:r>
          </w:p>
        </w:tc>
      </w:tr>
      <w:tr w:rsidR="00C70F0F" w:rsidRPr="00BA7367" w14:paraId="5C1BC218"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11E238E8"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Galponeros (CABA)</w:t>
            </w:r>
          </w:p>
        </w:tc>
        <w:tc>
          <w:tcPr>
            <w:tcW w:w="1424" w:type="dxa"/>
            <w:tcBorders>
              <w:top w:val="nil"/>
              <w:left w:val="nil"/>
              <w:bottom w:val="single" w:sz="4" w:space="0" w:color="auto"/>
              <w:right w:val="single" w:sz="4" w:space="0" w:color="auto"/>
            </w:tcBorders>
            <w:shd w:val="clear" w:color="auto" w:fill="auto"/>
            <w:noWrap/>
            <w:vAlign w:val="center"/>
            <w:hideMark/>
          </w:tcPr>
          <w:p w14:paraId="2EADD29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13,3%</w:t>
            </w:r>
          </w:p>
        </w:tc>
        <w:tc>
          <w:tcPr>
            <w:tcW w:w="1566" w:type="dxa"/>
            <w:tcBorders>
              <w:top w:val="nil"/>
              <w:left w:val="nil"/>
              <w:bottom w:val="single" w:sz="4" w:space="0" w:color="auto"/>
              <w:right w:val="single" w:sz="4" w:space="0" w:color="auto"/>
            </w:tcBorders>
            <w:shd w:val="clear" w:color="auto" w:fill="auto"/>
            <w:noWrap/>
            <w:vAlign w:val="center"/>
            <w:hideMark/>
          </w:tcPr>
          <w:p w14:paraId="5D75523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709" w:type="dxa"/>
            <w:tcBorders>
              <w:top w:val="nil"/>
              <w:left w:val="nil"/>
              <w:bottom w:val="single" w:sz="4" w:space="0" w:color="auto"/>
              <w:right w:val="single" w:sz="4" w:space="0" w:color="auto"/>
            </w:tcBorders>
            <w:shd w:val="clear" w:color="auto" w:fill="auto"/>
            <w:noWrap/>
            <w:vAlign w:val="center"/>
            <w:hideMark/>
          </w:tcPr>
          <w:p w14:paraId="78E09E0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6,7%</w:t>
            </w:r>
          </w:p>
        </w:tc>
      </w:tr>
      <w:tr w:rsidR="00C70F0F" w:rsidRPr="00BA7367" w14:paraId="5426C85B"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2FF1F24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Güemes (Ezeiza)</w:t>
            </w:r>
          </w:p>
        </w:tc>
        <w:tc>
          <w:tcPr>
            <w:tcW w:w="1424" w:type="dxa"/>
            <w:tcBorders>
              <w:top w:val="nil"/>
              <w:left w:val="nil"/>
              <w:bottom w:val="single" w:sz="4" w:space="0" w:color="auto"/>
              <w:right w:val="single" w:sz="4" w:space="0" w:color="auto"/>
            </w:tcBorders>
            <w:shd w:val="clear" w:color="auto" w:fill="auto"/>
            <w:noWrap/>
            <w:vAlign w:val="center"/>
            <w:hideMark/>
          </w:tcPr>
          <w:p w14:paraId="6FE771C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9,5%</w:t>
            </w:r>
          </w:p>
        </w:tc>
        <w:tc>
          <w:tcPr>
            <w:tcW w:w="1566" w:type="dxa"/>
            <w:tcBorders>
              <w:top w:val="nil"/>
              <w:left w:val="nil"/>
              <w:bottom w:val="single" w:sz="4" w:space="0" w:color="auto"/>
              <w:right w:val="single" w:sz="4" w:space="0" w:color="auto"/>
            </w:tcBorders>
            <w:shd w:val="clear" w:color="auto" w:fill="auto"/>
            <w:noWrap/>
            <w:vAlign w:val="center"/>
            <w:hideMark/>
          </w:tcPr>
          <w:p w14:paraId="1D054BD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6,3%</w:t>
            </w:r>
          </w:p>
        </w:tc>
        <w:tc>
          <w:tcPr>
            <w:tcW w:w="1709" w:type="dxa"/>
            <w:tcBorders>
              <w:top w:val="nil"/>
              <w:left w:val="nil"/>
              <w:bottom w:val="single" w:sz="4" w:space="0" w:color="auto"/>
              <w:right w:val="single" w:sz="4" w:space="0" w:color="auto"/>
            </w:tcBorders>
            <w:shd w:val="clear" w:color="auto" w:fill="auto"/>
            <w:noWrap/>
            <w:vAlign w:val="center"/>
            <w:hideMark/>
          </w:tcPr>
          <w:p w14:paraId="6F3B61E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7,1%</w:t>
            </w:r>
          </w:p>
        </w:tc>
      </w:tr>
      <w:tr w:rsidR="00C70F0F" w:rsidRPr="00BA7367" w14:paraId="24FB06B8"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EE1402B"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Isla Maciel (Avellaneda)</w:t>
            </w:r>
          </w:p>
        </w:tc>
        <w:tc>
          <w:tcPr>
            <w:tcW w:w="1424" w:type="dxa"/>
            <w:tcBorders>
              <w:top w:val="nil"/>
              <w:left w:val="nil"/>
              <w:bottom w:val="single" w:sz="4" w:space="0" w:color="auto"/>
              <w:right w:val="single" w:sz="4" w:space="0" w:color="auto"/>
            </w:tcBorders>
            <w:shd w:val="clear" w:color="auto" w:fill="auto"/>
            <w:noWrap/>
            <w:vAlign w:val="center"/>
            <w:hideMark/>
          </w:tcPr>
          <w:p w14:paraId="5267AE2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3,8%</w:t>
            </w:r>
          </w:p>
        </w:tc>
        <w:tc>
          <w:tcPr>
            <w:tcW w:w="1566" w:type="dxa"/>
            <w:tcBorders>
              <w:top w:val="nil"/>
              <w:left w:val="nil"/>
              <w:bottom w:val="single" w:sz="4" w:space="0" w:color="auto"/>
              <w:right w:val="single" w:sz="4" w:space="0" w:color="auto"/>
            </w:tcBorders>
            <w:shd w:val="clear" w:color="auto" w:fill="auto"/>
            <w:noWrap/>
            <w:vAlign w:val="center"/>
            <w:hideMark/>
          </w:tcPr>
          <w:p w14:paraId="6E90E3C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2,2%</w:t>
            </w:r>
          </w:p>
        </w:tc>
        <w:tc>
          <w:tcPr>
            <w:tcW w:w="1709" w:type="dxa"/>
            <w:tcBorders>
              <w:top w:val="nil"/>
              <w:left w:val="nil"/>
              <w:bottom w:val="single" w:sz="4" w:space="0" w:color="auto"/>
              <w:right w:val="single" w:sz="4" w:space="0" w:color="auto"/>
            </w:tcBorders>
            <w:shd w:val="clear" w:color="auto" w:fill="auto"/>
            <w:noWrap/>
            <w:vAlign w:val="center"/>
            <w:hideMark/>
          </w:tcPr>
          <w:p w14:paraId="47806DA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3,8%</w:t>
            </w:r>
          </w:p>
        </w:tc>
      </w:tr>
      <w:tr w:rsidR="00C70F0F" w:rsidRPr="00BA7367" w14:paraId="1BCA85B1"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D3D880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Lonja (Lomas de Zamora)</w:t>
            </w:r>
          </w:p>
        </w:tc>
        <w:tc>
          <w:tcPr>
            <w:tcW w:w="1424" w:type="dxa"/>
            <w:tcBorders>
              <w:top w:val="nil"/>
              <w:left w:val="nil"/>
              <w:bottom w:val="single" w:sz="4" w:space="0" w:color="auto"/>
              <w:right w:val="single" w:sz="4" w:space="0" w:color="auto"/>
            </w:tcBorders>
            <w:shd w:val="clear" w:color="auto" w:fill="auto"/>
            <w:noWrap/>
            <w:vAlign w:val="center"/>
            <w:hideMark/>
          </w:tcPr>
          <w:p w14:paraId="4C983D7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3,3%</w:t>
            </w:r>
          </w:p>
        </w:tc>
        <w:tc>
          <w:tcPr>
            <w:tcW w:w="1566" w:type="dxa"/>
            <w:tcBorders>
              <w:top w:val="nil"/>
              <w:left w:val="nil"/>
              <w:bottom w:val="single" w:sz="4" w:space="0" w:color="auto"/>
              <w:right w:val="single" w:sz="4" w:space="0" w:color="auto"/>
            </w:tcBorders>
            <w:shd w:val="clear" w:color="auto" w:fill="auto"/>
            <w:noWrap/>
            <w:vAlign w:val="center"/>
            <w:hideMark/>
          </w:tcPr>
          <w:p w14:paraId="077A348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6,6%</w:t>
            </w:r>
          </w:p>
        </w:tc>
        <w:tc>
          <w:tcPr>
            <w:tcW w:w="1709" w:type="dxa"/>
            <w:tcBorders>
              <w:top w:val="nil"/>
              <w:left w:val="nil"/>
              <w:bottom w:val="single" w:sz="4" w:space="0" w:color="auto"/>
              <w:right w:val="single" w:sz="4" w:space="0" w:color="auto"/>
            </w:tcBorders>
            <w:shd w:val="clear" w:color="auto" w:fill="auto"/>
            <w:noWrap/>
            <w:vAlign w:val="center"/>
            <w:hideMark/>
          </w:tcPr>
          <w:p w14:paraId="763CF68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8,2%</w:t>
            </w:r>
          </w:p>
        </w:tc>
      </w:tr>
      <w:tr w:rsidR="00C70F0F" w:rsidRPr="00BA7367" w14:paraId="4547907C"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377997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Porteña II (Ezeiza)</w:t>
            </w:r>
          </w:p>
        </w:tc>
        <w:tc>
          <w:tcPr>
            <w:tcW w:w="1424" w:type="dxa"/>
            <w:tcBorders>
              <w:top w:val="nil"/>
              <w:left w:val="nil"/>
              <w:bottom w:val="single" w:sz="4" w:space="0" w:color="auto"/>
              <w:right w:val="single" w:sz="4" w:space="0" w:color="auto"/>
            </w:tcBorders>
            <w:shd w:val="clear" w:color="auto" w:fill="auto"/>
            <w:noWrap/>
            <w:vAlign w:val="center"/>
            <w:hideMark/>
          </w:tcPr>
          <w:p w14:paraId="5E472C9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4,0%</w:t>
            </w:r>
          </w:p>
        </w:tc>
        <w:tc>
          <w:tcPr>
            <w:tcW w:w="1566" w:type="dxa"/>
            <w:tcBorders>
              <w:top w:val="nil"/>
              <w:left w:val="nil"/>
              <w:bottom w:val="single" w:sz="4" w:space="0" w:color="auto"/>
              <w:right w:val="single" w:sz="4" w:space="0" w:color="auto"/>
            </w:tcBorders>
            <w:shd w:val="clear" w:color="auto" w:fill="auto"/>
            <w:noWrap/>
            <w:vAlign w:val="center"/>
            <w:hideMark/>
          </w:tcPr>
          <w:p w14:paraId="6B8780B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2,6%</w:t>
            </w:r>
          </w:p>
        </w:tc>
        <w:tc>
          <w:tcPr>
            <w:tcW w:w="1709" w:type="dxa"/>
            <w:tcBorders>
              <w:top w:val="nil"/>
              <w:left w:val="nil"/>
              <w:bottom w:val="single" w:sz="4" w:space="0" w:color="auto"/>
              <w:right w:val="single" w:sz="4" w:space="0" w:color="auto"/>
            </w:tcBorders>
            <w:shd w:val="clear" w:color="auto" w:fill="auto"/>
            <w:noWrap/>
            <w:vAlign w:val="center"/>
            <w:hideMark/>
          </w:tcPr>
          <w:p w14:paraId="4860D13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5,1%</w:t>
            </w:r>
          </w:p>
        </w:tc>
      </w:tr>
      <w:tr w:rsidR="00C70F0F" w:rsidRPr="00BA7367" w14:paraId="68F8CD06"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57ECCE5"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Toma (Merlo)</w:t>
            </w:r>
          </w:p>
        </w:tc>
        <w:tc>
          <w:tcPr>
            <w:tcW w:w="1424" w:type="dxa"/>
            <w:tcBorders>
              <w:top w:val="nil"/>
              <w:left w:val="nil"/>
              <w:bottom w:val="single" w:sz="4" w:space="0" w:color="auto"/>
              <w:right w:val="single" w:sz="4" w:space="0" w:color="auto"/>
            </w:tcBorders>
            <w:shd w:val="clear" w:color="auto" w:fill="auto"/>
            <w:noWrap/>
            <w:vAlign w:val="center"/>
            <w:hideMark/>
          </w:tcPr>
          <w:p w14:paraId="4C8763F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4,8%</w:t>
            </w:r>
          </w:p>
        </w:tc>
        <w:tc>
          <w:tcPr>
            <w:tcW w:w="1566" w:type="dxa"/>
            <w:tcBorders>
              <w:top w:val="nil"/>
              <w:left w:val="nil"/>
              <w:bottom w:val="single" w:sz="4" w:space="0" w:color="auto"/>
              <w:right w:val="single" w:sz="4" w:space="0" w:color="auto"/>
            </w:tcBorders>
            <w:shd w:val="clear" w:color="auto" w:fill="auto"/>
            <w:noWrap/>
            <w:vAlign w:val="center"/>
            <w:hideMark/>
          </w:tcPr>
          <w:p w14:paraId="01125DA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3,2%</w:t>
            </w:r>
          </w:p>
        </w:tc>
        <w:tc>
          <w:tcPr>
            <w:tcW w:w="1709" w:type="dxa"/>
            <w:tcBorders>
              <w:top w:val="nil"/>
              <w:left w:val="nil"/>
              <w:bottom w:val="single" w:sz="4" w:space="0" w:color="auto"/>
              <w:right w:val="single" w:sz="4" w:space="0" w:color="auto"/>
            </w:tcBorders>
            <w:shd w:val="clear" w:color="auto" w:fill="auto"/>
            <w:noWrap/>
            <w:vAlign w:val="center"/>
            <w:hideMark/>
          </w:tcPr>
          <w:p w14:paraId="389FE3F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5,6%</w:t>
            </w:r>
          </w:p>
        </w:tc>
      </w:tr>
      <w:tr w:rsidR="00C70F0F" w:rsidRPr="00BA7367" w14:paraId="0F0865E1"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2BDE4C2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 Unión II (Cañuelas)</w:t>
            </w:r>
          </w:p>
        </w:tc>
        <w:tc>
          <w:tcPr>
            <w:tcW w:w="1424" w:type="dxa"/>
            <w:tcBorders>
              <w:top w:val="nil"/>
              <w:left w:val="nil"/>
              <w:bottom w:val="single" w:sz="4" w:space="0" w:color="auto"/>
              <w:right w:val="single" w:sz="4" w:space="0" w:color="auto"/>
            </w:tcBorders>
            <w:shd w:val="clear" w:color="auto" w:fill="auto"/>
            <w:noWrap/>
            <w:vAlign w:val="center"/>
            <w:hideMark/>
          </w:tcPr>
          <w:p w14:paraId="0A1B458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8,7%</w:t>
            </w:r>
          </w:p>
        </w:tc>
        <w:tc>
          <w:tcPr>
            <w:tcW w:w="1566" w:type="dxa"/>
            <w:tcBorders>
              <w:top w:val="nil"/>
              <w:left w:val="nil"/>
              <w:bottom w:val="single" w:sz="4" w:space="0" w:color="auto"/>
              <w:right w:val="single" w:sz="4" w:space="0" w:color="auto"/>
            </w:tcBorders>
            <w:shd w:val="clear" w:color="auto" w:fill="auto"/>
            <w:noWrap/>
            <w:vAlign w:val="center"/>
            <w:hideMark/>
          </w:tcPr>
          <w:p w14:paraId="53467CE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1,1%</w:t>
            </w:r>
          </w:p>
        </w:tc>
        <w:tc>
          <w:tcPr>
            <w:tcW w:w="1709" w:type="dxa"/>
            <w:tcBorders>
              <w:top w:val="nil"/>
              <w:left w:val="nil"/>
              <w:bottom w:val="single" w:sz="4" w:space="0" w:color="auto"/>
              <w:right w:val="single" w:sz="4" w:space="0" w:color="auto"/>
            </w:tcBorders>
            <w:shd w:val="clear" w:color="auto" w:fill="auto"/>
            <w:noWrap/>
            <w:vAlign w:val="center"/>
            <w:hideMark/>
          </w:tcPr>
          <w:p w14:paraId="5233246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5,4%</w:t>
            </w:r>
          </w:p>
        </w:tc>
      </w:tr>
      <w:tr w:rsidR="00C70F0F" w:rsidRPr="00BA7367" w14:paraId="1762D15A"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50390FC6"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Laguna Brava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381F111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6,1%</w:t>
            </w:r>
          </w:p>
        </w:tc>
        <w:tc>
          <w:tcPr>
            <w:tcW w:w="1566" w:type="dxa"/>
            <w:tcBorders>
              <w:top w:val="nil"/>
              <w:left w:val="nil"/>
              <w:bottom w:val="single" w:sz="4" w:space="0" w:color="auto"/>
              <w:right w:val="single" w:sz="4" w:space="0" w:color="auto"/>
            </w:tcBorders>
            <w:shd w:val="clear" w:color="auto" w:fill="auto"/>
            <w:noWrap/>
            <w:vAlign w:val="center"/>
            <w:hideMark/>
          </w:tcPr>
          <w:p w14:paraId="1AE0A53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2,0%</w:t>
            </w:r>
          </w:p>
        </w:tc>
        <w:tc>
          <w:tcPr>
            <w:tcW w:w="1709" w:type="dxa"/>
            <w:tcBorders>
              <w:top w:val="nil"/>
              <w:left w:val="nil"/>
              <w:bottom w:val="single" w:sz="4" w:space="0" w:color="auto"/>
              <w:right w:val="single" w:sz="4" w:space="0" w:color="auto"/>
            </w:tcBorders>
            <w:shd w:val="clear" w:color="auto" w:fill="auto"/>
            <w:noWrap/>
            <w:vAlign w:val="center"/>
            <w:hideMark/>
          </w:tcPr>
          <w:p w14:paraId="372EBF0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r>
      <w:tr w:rsidR="00C70F0F" w:rsidRPr="00BA7367" w14:paraId="20D82C9E"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5061574"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Las Flores (Merlo)</w:t>
            </w:r>
          </w:p>
        </w:tc>
        <w:tc>
          <w:tcPr>
            <w:tcW w:w="1424" w:type="dxa"/>
            <w:tcBorders>
              <w:top w:val="nil"/>
              <w:left w:val="nil"/>
              <w:bottom w:val="single" w:sz="4" w:space="0" w:color="auto"/>
              <w:right w:val="single" w:sz="4" w:space="0" w:color="auto"/>
            </w:tcBorders>
            <w:shd w:val="clear" w:color="auto" w:fill="auto"/>
            <w:noWrap/>
            <w:vAlign w:val="center"/>
            <w:hideMark/>
          </w:tcPr>
          <w:p w14:paraId="1571DFF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8,9%</w:t>
            </w:r>
          </w:p>
        </w:tc>
        <w:tc>
          <w:tcPr>
            <w:tcW w:w="1566" w:type="dxa"/>
            <w:tcBorders>
              <w:top w:val="nil"/>
              <w:left w:val="nil"/>
              <w:bottom w:val="single" w:sz="4" w:space="0" w:color="auto"/>
              <w:right w:val="single" w:sz="4" w:space="0" w:color="auto"/>
            </w:tcBorders>
            <w:shd w:val="clear" w:color="auto" w:fill="auto"/>
            <w:noWrap/>
            <w:vAlign w:val="center"/>
            <w:hideMark/>
          </w:tcPr>
          <w:p w14:paraId="4CAA55A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2,9%</w:t>
            </w:r>
          </w:p>
        </w:tc>
        <w:tc>
          <w:tcPr>
            <w:tcW w:w="1709" w:type="dxa"/>
            <w:tcBorders>
              <w:top w:val="nil"/>
              <w:left w:val="nil"/>
              <w:bottom w:val="single" w:sz="4" w:space="0" w:color="auto"/>
              <w:right w:val="single" w:sz="4" w:space="0" w:color="auto"/>
            </w:tcBorders>
            <w:shd w:val="clear" w:color="auto" w:fill="auto"/>
            <w:noWrap/>
            <w:vAlign w:val="center"/>
            <w:hideMark/>
          </w:tcPr>
          <w:p w14:paraId="3DA5E89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4,2%</w:t>
            </w:r>
          </w:p>
        </w:tc>
      </w:tr>
      <w:tr w:rsidR="00C70F0F" w:rsidRPr="00BA7367" w14:paraId="03E16E32"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20345B61"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Las Torres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13A251A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6,4%</w:t>
            </w:r>
          </w:p>
        </w:tc>
        <w:tc>
          <w:tcPr>
            <w:tcW w:w="1566" w:type="dxa"/>
            <w:tcBorders>
              <w:top w:val="nil"/>
              <w:left w:val="nil"/>
              <w:bottom w:val="single" w:sz="4" w:space="0" w:color="auto"/>
              <w:right w:val="single" w:sz="4" w:space="0" w:color="auto"/>
            </w:tcBorders>
            <w:shd w:val="clear" w:color="auto" w:fill="auto"/>
            <w:noWrap/>
            <w:vAlign w:val="center"/>
            <w:hideMark/>
          </w:tcPr>
          <w:p w14:paraId="552292E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0,8%</w:t>
            </w:r>
          </w:p>
        </w:tc>
        <w:tc>
          <w:tcPr>
            <w:tcW w:w="1709" w:type="dxa"/>
            <w:tcBorders>
              <w:top w:val="nil"/>
              <w:left w:val="nil"/>
              <w:bottom w:val="single" w:sz="4" w:space="0" w:color="auto"/>
              <w:right w:val="single" w:sz="4" w:space="0" w:color="auto"/>
            </w:tcBorders>
            <w:shd w:val="clear" w:color="auto" w:fill="auto"/>
            <w:noWrap/>
            <w:vAlign w:val="center"/>
            <w:hideMark/>
          </w:tcPr>
          <w:p w14:paraId="2A6BC7E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w:t>
            </w:r>
          </w:p>
        </w:tc>
      </w:tr>
      <w:tr w:rsidR="00C70F0F" w:rsidRPr="00BA7367" w14:paraId="2591FE4E"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A4D363F"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Libertad (Cañuelas)</w:t>
            </w:r>
          </w:p>
        </w:tc>
        <w:tc>
          <w:tcPr>
            <w:tcW w:w="1424" w:type="dxa"/>
            <w:tcBorders>
              <w:top w:val="nil"/>
              <w:left w:val="nil"/>
              <w:bottom w:val="single" w:sz="4" w:space="0" w:color="auto"/>
              <w:right w:val="single" w:sz="4" w:space="0" w:color="auto"/>
            </w:tcBorders>
            <w:shd w:val="clear" w:color="auto" w:fill="auto"/>
            <w:noWrap/>
            <w:vAlign w:val="center"/>
            <w:hideMark/>
          </w:tcPr>
          <w:p w14:paraId="7F27170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4,4%</w:t>
            </w:r>
          </w:p>
        </w:tc>
        <w:tc>
          <w:tcPr>
            <w:tcW w:w="1566" w:type="dxa"/>
            <w:tcBorders>
              <w:top w:val="nil"/>
              <w:left w:val="nil"/>
              <w:bottom w:val="single" w:sz="4" w:space="0" w:color="auto"/>
              <w:right w:val="single" w:sz="4" w:space="0" w:color="auto"/>
            </w:tcBorders>
            <w:shd w:val="clear" w:color="auto" w:fill="auto"/>
            <w:noWrap/>
            <w:vAlign w:val="center"/>
            <w:hideMark/>
          </w:tcPr>
          <w:p w14:paraId="19AB696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8,8%</w:t>
            </w:r>
          </w:p>
        </w:tc>
        <w:tc>
          <w:tcPr>
            <w:tcW w:w="1709" w:type="dxa"/>
            <w:tcBorders>
              <w:top w:val="nil"/>
              <w:left w:val="nil"/>
              <w:bottom w:val="single" w:sz="4" w:space="0" w:color="auto"/>
              <w:right w:val="single" w:sz="4" w:space="0" w:color="auto"/>
            </w:tcBorders>
            <w:shd w:val="clear" w:color="auto" w:fill="auto"/>
            <w:noWrap/>
            <w:vAlign w:val="center"/>
            <w:hideMark/>
          </w:tcPr>
          <w:p w14:paraId="5FF7194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13,2%</w:t>
            </w:r>
          </w:p>
        </w:tc>
      </w:tr>
      <w:tr w:rsidR="00C70F0F" w:rsidRPr="00BA7367" w14:paraId="1B7E1152"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CD5C8AE"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 xml:space="preserve">Los </w:t>
            </w:r>
            <w:proofErr w:type="spellStart"/>
            <w:r w:rsidRPr="00BA7367">
              <w:rPr>
                <w:rFonts w:eastAsia="Times New Roman" w:cs="Calibri"/>
                <w:color w:val="000000"/>
                <w:sz w:val="20"/>
                <w:szCs w:val="20"/>
              </w:rPr>
              <w:t>Piletones</w:t>
            </w:r>
            <w:proofErr w:type="spellEnd"/>
            <w:r w:rsidRPr="00BA7367">
              <w:rPr>
                <w:rFonts w:eastAsia="Times New Roman" w:cs="Calibri"/>
                <w:color w:val="000000"/>
                <w:sz w:val="20"/>
                <w:szCs w:val="20"/>
              </w:rPr>
              <w:t xml:space="preserve"> (CABA)</w:t>
            </w:r>
          </w:p>
        </w:tc>
        <w:tc>
          <w:tcPr>
            <w:tcW w:w="1424" w:type="dxa"/>
            <w:tcBorders>
              <w:top w:val="nil"/>
              <w:left w:val="nil"/>
              <w:bottom w:val="single" w:sz="4" w:space="0" w:color="auto"/>
              <w:right w:val="single" w:sz="4" w:space="0" w:color="auto"/>
            </w:tcBorders>
            <w:shd w:val="clear" w:color="auto" w:fill="auto"/>
            <w:noWrap/>
            <w:vAlign w:val="center"/>
            <w:hideMark/>
          </w:tcPr>
          <w:p w14:paraId="6080ACF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4,4%</w:t>
            </w:r>
          </w:p>
        </w:tc>
        <w:tc>
          <w:tcPr>
            <w:tcW w:w="1566" w:type="dxa"/>
            <w:tcBorders>
              <w:top w:val="nil"/>
              <w:left w:val="nil"/>
              <w:bottom w:val="single" w:sz="4" w:space="0" w:color="auto"/>
              <w:right w:val="single" w:sz="4" w:space="0" w:color="auto"/>
            </w:tcBorders>
            <w:shd w:val="clear" w:color="auto" w:fill="auto"/>
            <w:noWrap/>
            <w:vAlign w:val="center"/>
            <w:hideMark/>
          </w:tcPr>
          <w:p w14:paraId="4377DC4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3,2%</w:t>
            </w:r>
          </w:p>
        </w:tc>
        <w:tc>
          <w:tcPr>
            <w:tcW w:w="1709" w:type="dxa"/>
            <w:tcBorders>
              <w:top w:val="nil"/>
              <w:left w:val="nil"/>
              <w:bottom w:val="single" w:sz="4" w:space="0" w:color="auto"/>
              <w:right w:val="single" w:sz="4" w:space="0" w:color="auto"/>
            </w:tcBorders>
            <w:shd w:val="clear" w:color="auto" w:fill="auto"/>
            <w:noWrap/>
            <w:vAlign w:val="center"/>
            <w:hideMark/>
          </w:tcPr>
          <w:p w14:paraId="684ADFF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4,1%</w:t>
            </w:r>
          </w:p>
        </w:tc>
      </w:tr>
      <w:tr w:rsidR="00C70F0F" w:rsidRPr="00BA7367" w14:paraId="731243F4"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E6B386D"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 xml:space="preserve">Los </w:t>
            </w:r>
            <w:proofErr w:type="spellStart"/>
            <w:r w:rsidRPr="00BA7367">
              <w:rPr>
                <w:rFonts w:eastAsia="Times New Roman" w:cs="Calibri"/>
                <w:color w:val="000000"/>
                <w:sz w:val="20"/>
                <w:szCs w:val="20"/>
              </w:rPr>
              <w:t>Piletones</w:t>
            </w:r>
            <w:proofErr w:type="spellEnd"/>
            <w:r w:rsidRPr="00BA7367">
              <w:rPr>
                <w:rFonts w:eastAsia="Times New Roman" w:cs="Calibri"/>
                <w:color w:val="000000"/>
                <w:sz w:val="20"/>
                <w:szCs w:val="20"/>
              </w:rPr>
              <w:t xml:space="preserve"> II (CABA)</w:t>
            </w:r>
          </w:p>
        </w:tc>
        <w:tc>
          <w:tcPr>
            <w:tcW w:w="1424" w:type="dxa"/>
            <w:tcBorders>
              <w:top w:val="nil"/>
              <w:left w:val="nil"/>
              <w:bottom w:val="single" w:sz="4" w:space="0" w:color="auto"/>
              <w:right w:val="single" w:sz="4" w:space="0" w:color="auto"/>
            </w:tcBorders>
            <w:shd w:val="clear" w:color="auto" w:fill="auto"/>
            <w:noWrap/>
            <w:vAlign w:val="center"/>
            <w:hideMark/>
          </w:tcPr>
          <w:p w14:paraId="02608BF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8,8%</w:t>
            </w:r>
          </w:p>
        </w:tc>
        <w:tc>
          <w:tcPr>
            <w:tcW w:w="1566" w:type="dxa"/>
            <w:tcBorders>
              <w:top w:val="nil"/>
              <w:left w:val="nil"/>
              <w:bottom w:val="single" w:sz="4" w:space="0" w:color="auto"/>
              <w:right w:val="single" w:sz="4" w:space="0" w:color="auto"/>
            </w:tcBorders>
            <w:shd w:val="clear" w:color="auto" w:fill="auto"/>
            <w:noWrap/>
            <w:vAlign w:val="center"/>
            <w:hideMark/>
          </w:tcPr>
          <w:p w14:paraId="4CE51D9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5,0%</w:t>
            </w:r>
          </w:p>
        </w:tc>
        <w:tc>
          <w:tcPr>
            <w:tcW w:w="1709" w:type="dxa"/>
            <w:tcBorders>
              <w:top w:val="nil"/>
              <w:left w:val="nil"/>
              <w:bottom w:val="single" w:sz="4" w:space="0" w:color="auto"/>
              <w:right w:val="single" w:sz="4" w:space="0" w:color="auto"/>
            </w:tcBorders>
            <w:shd w:val="clear" w:color="auto" w:fill="auto"/>
            <w:noWrap/>
            <w:vAlign w:val="center"/>
            <w:hideMark/>
          </w:tcPr>
          <w:p w14:paraId="0CAD654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7,5%</w:t>
            </w:r>
          </w:p>
        </w:tc>
      </w:tr>
      <w:tr w:rsidR="00C70F0F" w:rsidRPr="00BA7367" w14:paraId="13F72A6B"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1EC5E393"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Luján (Ezeiza)</w:t>
            </w:r>
          </w:p>
        </w:tc>
        <w:tc>
          <w:tcPr>
            <w:tcW w:w="1424" w:type="dxa"/>
            <w:tcBorders>
              <w:top w:val="nil"/>
              <w:left w:val="nil"/>
              <w:bottom w:val="single" w:sz="4" w:space="0" w:color="auto"/>
              <w:right w:val="single" w:sz="4" w:space="0" w:color="auto"/>
            </w:tcBorders>
            <w:shd w:val="clear" w:color="auto" w:fill="auto"/>
            <w:noWrap/>
            <w:vAlign w:val="center"/>
            <w:hideMark/>
          </w:tcPr>
          <w:p w14:paraId="28B842A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11,6%</w:t>
            </w:r>
          </w:p>
        </w:tc>
        <w:tc>
          <w:tcPr>
            <w:tcW w:w="1566" w:type="dxa"/>
            <w:tcBorders>
              <w:top w:val="nil"/>
              <w:left w:val="nil"/>
              <w:bottom w:val="single" w:sz="4" w:space="0" w:color="auto"/>
              <w:right w:val="single" w:sz="4" w:space="0" w:color="auto"/>
            </w:tcBorders>
            <w:shd w:val="clear" w:color="auto" w:fill="auto"/>
            <w:noWrap/>
            <w:vAlign w:val="center"/>
            <w:hideMark/>
          </w:tcPr>
          <w:p w14:paraId="3FE2397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4,2%</w:t>
            </w:r>
          </w:p>
        </w:tc>
        <w:tc>
          <w:tcPr>
            <w:tcW w:w="1709" w:type="dxa"/>
            <w:tcBorders>
              <w:top w:val="nil"/>
              <w:left w:val="nil"/>
              <w:bottom w:val="single" w:sz="4" w:space="0" w:color="auto"/>
              <w:right w:val="single" w:sz="4" w:space="0" w:color="auto"/>
            </w:tcBorders>
            <w:shd w:val="clear" w:color="auto" w:fill="auto"/>
            <w:noWrap/>
            <w:vAlign w:val="center"/>
            <w:hideMark/>
          </w:tcPr>
          <w:p w14:paraId="64C27B0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4,6%</w:t>
            </w:r>
          </w:p>
        </w:tc>
      </w:tr>
      <w:tr w:rsidR="00C70F0F" w:rsidRPr="00BA7367" w14:paraId="5B7A0DA4"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0C23010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María Auxiliadora (CABA)</w:t>
            </w:r>
          </w:p>
        </w:tc>
        <w:tc>
          <w:tcPr>
            <w:tcW w:w="1424" w:type="dxa"/>
            <w:tcBorders>
              <w:top w:val="nil"/>
              <w:left w:val="nil"/>
              <w:bottom w:val="single" w:sz="4" w:space="0" w:color="auto"/>
              <w:right w:val="single" w:sz="4" w:space="0" w:color="auto"/>
            </w:tcBorders>
            <w:shd w:val="clear" w:color="auto" w:fill="auto"/>
            <w:noWrap/>
            <w:vAlign w:val="center"/>
            <w:hideMark/>
          </w:tcPr>
          <w:p w14:paraId="35EBE95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10,4%</w:t>
            </w:r>
          </w:p>
        </w:tc>
        <w:tc>
          <w:tcPr>
            <w:tcW w:w="1566" w:type="dxa"/>
            <w:tcBorders>
              <w:top w:val="nil"/>
              <w:left w:val="nil"/>
              <w:bottom w:val="single" w:sz="4" w:space="0" w:color="auto"/>
              <w:right w:val="single" w:sz="4" w:space="0" w:color="auto"/>
            </w:tcBorders>
            <w:shd w:val="clear" w:color="auto" w:fill="auto"/>
            <w:noWrap/>
            <w:vAlign w:val="center"/>
            <w:hideMark/>
          </w:tcPr>
          <w:p w14:paraId="3663D9D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4,2%</w:t>
            </w:r>
          </w:p>
        </w:tc>
        <w:tc>
          <w:tcPr>
            <w:tcW w:w="1709" w:type="dxa"/>
            <w:tcBorders>
              <w:top w:val="nil"/>
              <w:left w:val="nil"/>
              <w:bottom w:val="single" w:sz="4" w:space="0" w:color="auto"/>
              <w:right w:val="single" w:sz="4" w:space="0" w:color="auto"/>
            </w:tcBorders>
            <w:shd w:val="clear" w:color="auto" w:fill="auto"/>
            <w:noWrap/>
            <w:vAlign w:val="center"/>
            <w:hideMark/>
          </w:tcPr>
          <w:p w14:paraId="2FA802A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4,2%</w:t>
            </w:r>
          </w:p>
        </w:tc>
      </w:tr>
      <w:tr w:rsidR="00C70F0F" w:rsidRPr="00BA7367" w14:paraId="5CFB8923"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46A3207"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Recoleta I (La Matanza)</w:t>
            </w:r>
          </w:p>
        </w:tc>
        <w:tc>
          <w:tcPr>
            <w:tcW w:w="1424" w:type="dxa"/>
            <w:tcBorders>
              <w:top w:val="nil"/>
              <w:left w:val="nil"/>
              <w:bottom w:val="single" w:sz="4" w:space="0" w:color="auto"/>
              <w:right w:val="single" w:sz="4" w:space="0" w:color="auto"/>
            </w:tcBorders>
            <w:shd w:val="clear" w:color="auto" w:fill="auto"/>
            <w:noWrap/>
            <w:vAlign w:val="center"/>
            <w:hideMark/>
          </w:tcPr>
          <w:p w14:paraId="290E348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8,8%</w:t>
            </w:r>
          </w:p>
        </w:tc>
        <w:tc>
          <w:tcPr>
            <w:tcW w:w="1566" w:type="dxa"/>
            <w:tcBorders>
              <w:top w:val="nil"/>
              <w:left w:val="nil"/>
              <w:bottom w:val="single" w:sz="4" w:space="0" w:color="auto"/>
              <w:right w:val="single" w:sz="4" w:space="0" w:color="auto"/>
            </w:tcBorders>
            <w:shd w:val="clear" w:color="auto" w:fill="auto"/>
            <w:noWrap/>
            <w:vAlign w:val="center"/>
            <w:hideMark/>
          </w:tcPr>
          <w:p w14:paraId="2100D304"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w:t>
            </w:r>
          </w:p>
        </w:tc>
        <w:tc>
          <w:tcPr>
            <w:tcW w:w="1709" w:type="dxa"/>
            <w:tcBorders>
              <w:top w:val="nil"/>
              <w:left w:val="nil"/>
              <w:bottom w:val="single" w:sz="4" w:space="0" w:color="auto"/>
              <w:right w:val="single" w:sz="4" w:space="0" w:color="auto"/>
            </w:tcBorders>
            <w:shd w:val="clear" w:color="auto" w:fill="auto"/>
            <w:noWrap/>
            <w:vAlign w:val="center"/>
            <w:hideMark/>
          </w:tcPr>
          <w:p w14:paraId="37AC02F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5,0%</w:t>
            </w:r>
          </w:p>
        </w:tc>
      </w:tr>
      <w:tr w:rsidR="00C70F0F" w:rsidRPr="00BA7367" w14:paraId="57C01988"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38C8ECC4" w14:textId="77777777" w:rsidR="00C70F0F" w:rsidRPr="00BA7367" w:rsidRDefault="00C70F0F" w:rsidP="00C70F0F">
            <w:pPr>
              <w:spacing w:line="240" w:lineRule="auto"/>
              <w:rPr>
                <w:rFonts w:eastAsia="Times New Roman" w:cs="Calibri"/>
                <w:color w:val="000000"/>
                <w:sz w:val="20"/>
                <w:szCs w:val="20"/>
              </w:rPr>
            </w:pPr>
            <w:proofErr w:type="spellStart"/>
            <w:r w:rsidRPr="00BA7367">
              <w:rPr>
                <w:rFonts w:eastAsia="Times New Roman" w:cs="Calibri"/>
                <w:color w:val="000000"/>
                <w:sz w:val="20"/>
                <w:szCs w:val="20"/>
              </w:rPr>
              <w:t>Sakura</w:t>
            </w:r>
            <w:proofErr w:type="spellEnd"/>
            <w:r w:rsidRPr="00BA7367">
              <w:rPr>
                <w:rFonts w:eastAsia="Times New Roman" w:cs="Calibri"/>
                <w:color w:val="000000"/>
                <w:sz w:val="20"/>
                <w:szCs w:val="20"/>
              </w:rPr>
              <w:t xml:space="preserve"> (</w:t>
            </w:r>
            <w:proofErr w:type="spellStart"/>
            <w:r w:rsidRPr="00BA7367">
              <w:rPr>
                <w:rFonts w:eastAsia="Times New Roman" w:cs="Calibri"/>
                <w:color w:val="000000"/>
                <w:sz w:val="20"/>
                <w:szCs w:val="20"/>
              </w:rPr>
              <w:t>Alte</w:t>
            </w:r>
            <w:proofErr w:type="spellEnd"/>
            <w:r w:rsidRPr="00BA7367">
              <w:rPr>
                <w:rFonts w:eastAsia="Times New Roman" w:cs="Calibri"/>
                <w:color w:val="000000"/>
                <w:sz w:val="20"/>
                <w:szCs w:val="20"/>
              </w:rPr>
              <w:t>. Brown)</w:t>
            </w:r>
          </w:p>
        </w:tc>
        <w:tc>
          <w:tcPr>
            <w:tcW w:w="1424" w:type="dxa"/>
            <w:tcBorders>
              <w:top w:val="nil"/>
              <w:left w:val="nil"/>
              <w:bottom w:val="single" w:sz="4" w:space="0" w:color="auto"/>
              <w:right w:val="single" w:sz="4" w:space="0" w:color="auto"/>
            </w:tcBorders>
            <w:shd w:val="clear" w:color="auto" w:fill="auto"/>
            <w:noWrap/>
            <w:vAlign w:val="center"/>
            <w:hideMark/>
          </w:tcPr>
          <w:p w14:paraId="0F2FE80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9,1%</w:t>
            </w:r>
          </w:p>
        </w:tc>
        <w:tc>
          <w:tcPr>
            <w:tcW w:w="1566" w:type="dxa"/>
            <w:tcBorders>
              <w:top w:val="nil"/>
              <w:left w:val="nil"/>
              <w:bottom w:val="single" w:sz="4" w:space="0" w:color="auto"/>
              <w:right w:val="single" w:sz="4" w:space="0" w:color="auto"/>
            </w:tcBorders>
            <w:shd w:val="clear" w:color="auto" w:fill="auto"/>
            <w:noWrap/>
            <w:vAlign w:val="center"/>
            <w:hideMark/>
          </w:tcPr>
          <w:p w14:paraId="3BE44F2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6,8%</w:t>
            </w:r>
          </w:p>
        </w:tc>
        <w:tc>
          <w:tcPr>
            <w:tcW w:w="1709" w:type="dxa"/>
            <w:tcBorders>
              <w:top w:val="nil"/>
              <w:left w:val="nil"/>
              <w:bottom w:val="single" w:sz="4" w:space="0" w:color="auto"/>
              <w:right w:val="single" w:sz="4" w:space="0" w:color="auto"/>
            </w:tcBorders>
            <w:shd w:val="clear" w:color="auto" w:fill="auto"/>
            <w:noWrap/>
            <w:vAlign w:val="center"/>
            <w:hideMark/>
          </w:tcPr>
          <w:p w14:paraId="40BE188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6,8%</w:t>
            </w:r>
          </w:p>
        </w:tc>
      </w:tr>
      <w:tr w:rsidR="00C70F0F" w:rsidRPr="00BA7367" w14:paraId="68A3F785"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FA06778"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Andrés (Ezeiza)</w:t>
            </w:r>
          </w:p>
        </w:tc>
        <w:tc>
          <w:tcPr>
            <w:tcW w:w="1424" w:type="dxa"/>
            <w:tcBorders>
              <w:top w:val="nil"/>
              <w:left w:val="nil"/>
              <w:bottom w:val="single" w:sz="4" w:space="0" w:color="auto"/>
              <w:right w:val="single" w:sz="4" w:space="0" w:color="auto"/>
            </w:tcBorders>
            <w:shd w:val="clear" w:color="auto" w:fill="auto"/>
            <w:noWrap/>
            <w:vAlign w:val="center"/>
            <w:hideMark/>
          </w:tcPr>
          <w:p w14:paraId="47AE6A7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8,0%</w:t>
            </w:r>
          </w:p>
        </w:tc>
        <w:tc>
          <w:tcPr>
            <w:tcW w:w="1566" w:type="dxa"/>
            <w:tcBorders>
              <w:top w:val="nil"/>
              <w:left w:val="nil"/>
              <w:bottom w:val="single" w:sz="4" w:space="0" w:color="auto"/>
              <w:right w:val="single" w:sz="4" w:space="0" w:color="auto"/>
            </w:tcBorders>
            <w:shd w:val="clear" w:color="auto" w:fill="auto"/>
            <w:noWrap/>
            <w:vAlign w:val="center"/>
            <w:hideMark/>
          </w:tcPr>
          <w:p w14:paraId="09374B73"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1,9%</w:t>
            </w:r>
          </w:p>
        </w:tc>
        <w:tc>
          <w:tcPr>
            <w:tcW w:w="1709" w:type="dxa"/>
            <w:tcBorders>
              <w:top w:val="nil"/>
              <w:left w:val="nil"/>
              <w:bottom w:val="single" w:sz="4" w:space="0" w:color="auto"/>
              <w:right w:val="single" w:sz="4" w:space="0" w:color="auto"/>
            </w:tcBorders>
            <w:shd w:val="clear" w:color="auto" w:fill="auto"/>
            <w:noWrap/>
            <w:vAlign w:val="center"/>
            <w:hideMark/>
          </w:tcPr>
          <w:p w14:paraId="295623B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8,0%</w:t>
            </w:r>
          </w:p>
        </w:tc>
      </w:tr>
      <w:tr w:rsidR="00C70F0F" w:rsidRPr="00BA7367" w14:paraId="326FF0B5"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55B8853"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Carlos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5389BE47"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11,0%</w:t>
            </w:r>
          </w:p>
        </w:tc>
        <w:tc>
          <w:tcPr>
            <w:tcW w:w="1566" w:type="dxa"/>
            <w:tcBorders>
              <w:top w:val="nil"/>
              <w:left w:val="nil"/>
              <w:bottom w:val="single" w:sz="4" w:space="0" w:color="auto"/>
              <w:right w:val="single" w:sz="4" w:space="0" w:color="auto"/>
            </w:tcBorders>
            <w:shd w:val="clear" w:color="auto" w:fill="auto"/>
            <w:noWrap/>
            <w:vAlign w:val="center"/>
            <w:hideMark/>
          </w:tcPr>
          <w:p w14:paraId="665599C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1,8%</w:t>
            </w:r>
          </w:p>
        </w:tc>
        <w:tc>
          <w:tcPr>
            <w:tcW w:w="1709" w:type="dxa"/>
            <w:tcBorders>
              <w:top w:val="nil"/>
              <w:left w:val="nil"/>
              <w:bottom w:val="single" w:sz="4" w:space="0" w:color="auto"/>
              <w:right w:val="single" w:sz="4" w:space="0" w:color="auto"/>
            </w:tcBorders>
            <w:shd w:val="clear" w:color="auto" w:fill="auto"/>
            <w:noWrap/>
            <w:vAlign w:val="center"/>
            <w:hideMark/>
          </w:tcPr>
          <w:p w14:paraId="7CFA893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4,6%</w:t>
            </w:r>
          </w:p>
        </w:tc>
      </w:tr>
      <w:tr w:rsidR="00C70F0F" w:rsidRPr="00BA7367" w14:paraId="3653C04E"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0B7219DD"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San Carlos Oeste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3356D90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566" w:type="dxa"/>
            <w:tcBorders>
              <w:top w:val="nil"/>
              <w:left w:val="nil"/>
              <w:bottom w:val="single" w:sz="4" w:space="0" w:color="auto"/>
              <w:right w:val="single" w:sz="4" w:space="0" w:color="auto"/>
            </w:tcBorders>
            <w:shd w:val="clear" w:color="auto" w:fill="auto"/>
            <w:noWrap/>
            <w:vAlign w:val="center"/>
            <w:hideMark/>
          </w:tcPr>
          <w:p w14:paraId="25D1902E"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709" w:type="dxa"/>
            <w:tcBorders>
              <w:top w:val="nil"/>
              <w:left w:val="nil"/>
              <w:bottom w:val="single" w:sz="4" w:space="0" w:color="auto"/>
              <w:right w:val="single" w:sz="4" w:space="0" w:color="auto"/>
            </w:tcBorders>
            <w:shd w:val="clear" w:color="auto" w:fill="auto"/>
            <w:noWrap/>
            <w:vAlign w:val="center"/>
            <w:hideMark/>
          </w:tcPr>
          <w:p w14:paraId="739500F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r>
      <w:tr w:rsidR="00C70F0F" w:rsidRPr="00BA7367" w14:paraId="7D69FF6D"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46053472"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Soledad (Lomas de Zamora)</w:t>
            </w:r>
          </w:p>
        </w:tc>
        <w:tc>
          <w:tcPr>
            <w:tcW w:w="1424" w:type="dxa"/>
            <w:tcBorders>
              <w:top w:val="nil"/>
              <w:left w:val="nil"/>
              <w:bottom w:val="single" w:sz="4" w:space="0" w:color="auto"/>
              <w:right w:val="single" w:sz="4" w:space="0" w:color="auto"/>
            </w:tcBorders>
            <w:shd w:val="clear" w:color="auto" w:fill="auto"/>
            <w:noWrap/>
            <w:vAlign w:val="center"/>
            <w:hideMark/>
          </w:tcPr>
          <w:p w14:paraId="50B9D786"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13,2%</w:t>
            </w:r>
          </w:p>
        </w:tc>
        <w:tc>
          <w:tcPr>
            <w:tcW w:w="1566" w:type="dxa"/>
            <w:tcBorders>
              <w:top w:val="nil"/>
              <w:left w:val="nil"/>
              <w:bottom w:val="single" w:sz="4" w:space="0" w:color="auto"/>
              <w:right w:val="single" w:sz="4" w:space="0" w:color="auto"/>
            </w:tcBorders>
            <w:shd w:val="clear" w:color="auto" w:fill="auto"/>
            <w:noWrap/>
            <w:vAlign w:val="center"/>
            <w:hideMark/>
          </w:tcPr>
          <w:p w14:paraId="048E0EEB"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2,9%</w:t>
            </w:r>
          </w:p>
        </w:tc>
        <w:tc>
          <w:tcPr>
            <w:tcW w:w="1709" w:type="dxa"/>
            <w:tcBorders>
              <w:top w:val="nil"/>
              <w:left w:val="nil"/>
              <w:bottom w:val="single" w:sz="4" w:space="0" w:color="auto"/>
              <w:right w:val="single" w:sz="4" w:space="0" w:color="auto"/>
            </w:tcBorders>
            <w:shd w:val="clear" w:color="auto" w:fill="auto"/>
            <w:noWrap/>
            <w:vAlign w:val="center"/>
            <w:hideMark/>
          </w:tcPr>
          <w:p w14:paraId="58DEFBAD"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8,8%</w:t>
            </w:r>
          </w:p>
        </w:tc>
      </w:tr>
      <w:tr w:rsidR="00C70F0F" w:rsidRPr="00BA7367" w14:paraId="3A6FA2DB"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678E1CC" w14:textId="77777777" w:rsidR="00C70F0F" w:rsidRPr="00BA7367" w:rsidRDefault="00C70F0F" w:rsidP="00C70F0F">
            <w:pPr>
              <w:spacing w:line="240" w:lineRule="auto"/>
              <w:rPr>
                <w:rFonts w:eastAsia="Times New Roman" w:cs="Calibri"/>
                <w:color w:val="000000"/>
                <w:sz w:val="20"/>
                <w:szCs w:val="20"/>
              </w:rPr>
            </w:pPr>
            <w:proofErr w:type="spellStart"/>
            <w:r w:rsidRPr="00BA7367">
              <w:rPr>
                <w:rFonts w:eastAsia="Times New Roman" w:cs="Calibri"/>
                <w:color w:val="000000"/>
                <w:sz w:val="20"/>
                <w:szCs w:val="20"/>
              </w:rPr>
              <w:t>Torchiario</w:t>
            </w:r>
            <w:proofErr w:type="spellEnd"/>
            <w:r w:rsidRPr="00BA7367">
              <w:rPr>
                <w:rFonts w:eastAsia="Times New Roman" w:cs="Calibri"/>
                <w:color w:val="000000"/>
                <w:sz w:val="20"/>
                <w:szCs w:val="20"/>
              </w:rPr>
              <w:t xml:space="preserve"> (Marcos Paz)</w:t>
            </w:r>
          </w:p>
        </w:tc>
        <w:tc>
          <w:tcPr>
            <w:tcW w:w="1424" w:type="dxa"/>
            <w:tcBorders>
              <w:top w:val="nil"/>
              <w:left w:val="nil"/>
              <w:bottom w:val="single" w:sz="4" w:space="0" w:color="auto"/>
              <w:right w:val="single" w:sz="4" w:space="0" w:color="auto"/>
            </w:tcBorders>
            <w:shd w:val="clear" w:color="auto" w:fill="auto"/>
            <w:noWrap/>
            <w:vAlign w:val="center"/>
            <w:hideMark/>
          </w:tcPr>
          <w:p w14:paraId="467B29D9"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10,3%</w:t>
            </w:r>
          </w:p>
        </w:tc>
        <w:tc>
          <w:tcPr>
            <w:tcW w:w="1566" w:type="dxa"/>
            <w:tcBorders>
              <w:top w:val="nil"/>
              <w:left w:val="nil"/>
              <w:bottom w:val="single" w:sz="4" w:space="0" w:color="auto"/>
              <w:right w:val="single" w:sz="4" w:space="0" w:color="auto"/>
            </w:tcBorders>
            <w:shd w:val="clear" w:color="auto" w:fill="auto"/>
            <w:noWrap/>
            <w:vAlign w:val="center"/>
            <w:hideMark/>
          </w:tcPr>
          <w:p w14:paraId="7E014265"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9,0%</w:t>
            </w:r>
          </w:p>
        </w:tc>
        <w:tc>
          <w:tcPr>
            <w:tcW w:w="1709" w:type="dxa"/>
            <w:tcBorders>
              <w:top w:val="nil"/>
              <w:left w:val="nil"/>
              <w:bottom w:val="single" w:sz="4" w:space="0" w:color="auto"/>
              <w:right w:val="single" w:sz="4" w:space="0" w:color="auto"/>
            </w:tcBorders>
            <w:shd w:val="clear" w:color="auto" w:fill="auto"/>
            <w:noWrap/>
            <w:vAlign w:val="center"/>
            <w:hideMark/>
          </w:tcPr>
          <w:p w14:paraId="115D115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7,7%</w:t>
            </w:r>
          </w:p>
        </w:tc>
      </w:tr>
      <w:tr w:rsidR="00C70F0F" w:rsidRPr="00BA7367" w14:paraId="424895BB"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67C77A62" w14:textId="77777777" w:rsidR="00C70F0F" w:rsidRPr="00BA7367" w:rsidRDefault="00C70F0F" w:rsidP="00C70F0F">
            <w:pPr>
              <w:spacing w:line="240" w:lineRule="auto"/>
              <w:rPr>
                <w:rFonts w:eastAsia="Times New Roman" w:cs="Calibri"/>
                <w:color w:val="000000"/>
                <w:sz w:val="20"/>
                <w:szCs w:val="20"/>
              </w:rPr>
            </w:pPr>
            <w:proofErr w:type="spellStart"/>
            <w:r w:rsidRPr="00BA7367">
              <w:rPr>
                <w:rFonts w:eastAsia="Times New Roman" w:cs="Calibri"/>
                <w:color w:val="000000"/>
                <w:sz w:val="20"/>
                <w:szCs w:val="20"/>
              </w:rPr>
              <w:t>Trasradio</w:t>
            </w:r>
            <w:proofErr w:type="spellEnd"/>
            <w:r w:rsidRPr="00BA7367">
              <w:rPr>
                <w:rFonts w:eastAsia="Times New Roman" w:cs="Calibri"/>
                <w:color w:val="000000"/>
                <w:sz w:val="20"/>
                <w:szCs w:val="20"/>
              </w:rPr>
              <w:t xml:space="preserve"> (E. Echeverría)</w:t>
            </w:r>
          </w:p>
        </w:tc>
        <w:tc>
          <w:tcPr>
            <w:tcW w:w="1424" w:type="dxa"/>
            <w:tcBorders>
              <w:top w:val="nil"/>
              <w:left w:val="nil"/>
              <w:bottom w:val="single" w:sz="4" w:space="0" w:color="auto"/>
              <w:right w:val="single" w:sz="4" w:space="0" w:color="auto"/>
            </w:tcBorders>
            <w:shd w:val="clear" w:color="auto" w:fill="auto"/>
            <w:noWrap/>
            <w:vAlign w:val="center"/>
            <w:hideMark/>
          </w:tcPr>
          <w:p w14:paraId="6AAEDEBC"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3,6%</w:t>
            </w:r>
          </w:p>
        </w:tc>
        <w:tc>
          <w:tcPr>
            <w:tcW w:w="1566" w:type="dxa"/>
            <w:tcBorders>
              <w:top w:val="nil"/>
              <w:left w:val="nil"/>
              <w:bottom w:val="single" w:sz="4" w:space="0" w:color="auto"/>
              <w:right w:val="single" w:sz="4" w:space="0" w:color="auto"/>
            </w:tcBorders>
            <w:shd w:val="clear" w:color="auto" w:fill="auto"/>
            <w:noWrap/>
            <w:vAlign w:val="center"/>
            <w:hideMark/>
          </w:tcPr>
          <w:p w14:paraId="51A3CA0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709" w:type="dxa"/>
            <w:tcBorders>
              <w:top w:val="nil"/>
              <w:left w:val="nil"/>
              <w:bottom w:val="single" w:sz="4" w:space="0" w:color="auto"/>
              <w:right w:val="single" w:sz="4" w:space="0" w:color="auto"/>
            </w:tcBorders>
            <w:shd w:val="clear" w:color="auto" w:fill="auto"/>
            <w:noWrap/>
            <w:vAlign w:val="center"/>
            <w:hideMark/>
          </w:tcPr>
          <w:p w14:paraId="138A78C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2,4%</w:t>
            </w:r>
          </w:p>
        </w:tc>
      </w:tr>
      <w:tr w:rsidR="00C70F0F" w:rsidRPr="00BA7367" w14:paraId="14F77161"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5A4F12F" w14:textId="77777777" w:rsidR="00C70F0F" w:rsidRPr="00BA7367" w:rsidRDefault="00C70F0F" w:rsidP="00C70F0F">
            <w:pPr>
              <w:spacing w:line="240" w:lineRule="auto"/>
              <w:rPr>
                <w:rFonts w:eastAsia="Times New Roman" w:cs="Calibri"/>
                <w:color w:val="000000"/>
                <w:sz w:val="20"/>
                <w:szCs w:val="20"/>
              </w:rPr>
            </w:pPr>
            <w:proofErr w:type="spellStart"/>
            <w:r w:rsidRPr="00BA7367">
              <w:rPr>
                <w:rFonts w:eastAsia="Times New Roman" w:cs="Calibri"/>
                <w:color w:val="000000"/>
                <w:sz w:val="20"/>
                <w:szCs w:val="20"/>
              </w:rPr>
              <w:t>Urioste</w:t>
            </w:r>
            <w:proofErr w:type="spellEnd"/>
            <w:r w:rsidRPr="00BA7367">
              <w:rPr>
                <w:rFonts w:eastAsia="Times New Roman" w:cs="Calibri"/>
                <w:color w:val="000000"/>
                <w:sz w:val="20"/>
                <w:szCs w:val="20"/>
              </w:rPr>
              <w:t xml:space="preserve"> (Marcos Paz)</w:t>
            </w:r>
          </w:p>
        </w:tc>
        <w:tc>
          <w:tcPr>
            <w:tcW w:w="1424" w:type="dxa"/>
            <w:tcBorders>
              <w:top w:val="nil"/>
              <w:left w:val="nil"/>
              <w:bottom w:val="single" w:sz="4" w:space="0" w:color="auto"/>
              <w:right w:val="single" w:sz="4" w:space="0" w:color="auto"/>
            </w:tcBorders>
            <w:shd w:val="clear" w:color="auto" w:fill="auto"/>
            <w:noWrap/>
            <w:vAlign w:val="center"/>
            <w:hideMark/>
          </w:tcPr>
          <w:p w14:paraId="53C5988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0,0%</w:t>
            </w:r>
          </w:p>
        </w:tc>
        <w:tc>
          <w:tcPr>
            <w:tcW w:w="1566" w:type="dxa"/>
            <w:tcBorders>
              <w:top w:val="nil"/>
              <w:left w:val="nil"/>
              <w:bottom w:val="single" w:sz="4" w:space="0" w:color="auto"/>
              <w:right w:val="single" w:sz="4" w:space="0" w:color="auto"/>
            </w:tcBorders>
            <w:shd w:val="clear" w:color="auto" w:fill="auto"/>
            <w:noWrap/>
            <w:vAlign w:val="center"/>
            <w:hideMark/>
          </w:tcPr>
          <w:p w14:paraId="5E784D3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2,1%</w:t>
            </w:r>
          </w:p>
        </w:tc>
        <w:tc>
          <w:tcPr>
            <w:tcW w:w="1709" w:type="dxa"/>
            <w:tcBorders>
              <w:top w:val="nil"/>
              <w:left w:val="nil"/>
              <w:bottom w:val="single" w:sz="4" w:space="0" w:color="auto"/>
              <w:right w:val="single" w:sz="4" w:space="0" w:color="auto"/>
            </w:tcBorders>
            <w:shd w:val="clear" w:color="auto" w:fill="auto"/>
            <w:noWrap/>
            <w:vAlign w:val="center"/>
            <w:hideMark/>
          </w:tcPr>
          <w:p w14:paraId="4837850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2,1%</w:t>
            </w:r>
          </w:p>
        </w:tc>
      </w:tr>
      <w:tr w:rsidR="00C70F0F" w:rsidRPr="00BA7367" w14:paraId="2CF9C614"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73C5582C"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Villa Talleres (Lanús)</w:t>
            </w:r>
          </w:p>
        </w:tc>
        <w:tc>
          <w:tcPr>
            <w:tcW w:w="1424" w:type="dxa"/>
            <w:tcBorders>
              <w:top w:val="nil"/>
              <w:left w:val="nil"/>
              <w:bottom w:val="single" w:sz="4" w:space="0" w:color="auto"/>
              <w:right w:val="single" w:sz="4" w:space="0" w:color="auto"/>
            </w:tcBorders>
            <w:shd w:val="clear" w:color="auto" w:fill="auto"/>
            <w:noWrap/>
            <w:vAlign w:val="center"/>
            <w:hideMark/>
          </w:tcPr>
          <w:p w14:paraId="74D48A31"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7,4%</w:t>
            </w:r>
          </w:p>
        </w:tc>
        <w:tc>
          <w:tcPr>
            <w:tcW w:w="1566" w:type="dxa"/>
            <w:tcBorders>
              <w:top w:val="nil"/>
              <w:left w:val="nil"/>
              <w:bottom w:val="single" w:sz="4" w:space="0" w:color="auto"/>
              <w:right w:val="single" w:sz="4" w:space="0" w:color="auto"/>
            </w:tcBorders>
            <w:shd w:val="clear" w:color="auto" w:fill="auto"/>
            <w:noWrap/>
            <w:vAlign w:val="center"/>
            <w:hideMark/>
          </w:tcPr>
          <w:p w14:paraId="18C65D88"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7,4%</w:t>
            </w:r>
          </w:p>
        </w:tc>
        <w:tc>
          <w:tcPr>
            <w:tcW w:w="1709" w:type="dxa"/>
            <w:tcBorders>
              <w:top w:val="nil"/>
              <w:left w:val="nil"/>
              <w:bottom w:val="single" w:sz="4" w:space="0" w:color="auto"/>
              <w:right w:val="single" w:sz="4" w:space="0" w:color="auto"/>
            </w:tcBorders>
            <w:shd w:val="clear" w:color="auto" w:fill="auto"/>
            <w:noWrap/>
            <w:vAlign w:val="center"/>
            <w:hideMark/>
          </w:tcPr>
          <w:p w14:paraId="0CFEFB42"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9,9%</w:t>
            </w:r>
          </w:p>
        </w:tc>
      </w:tr>
      <w:tr w:rsidR="00C70F0F" w:rsidRPr="00BA7367" w14:paraId="5B2E8FDD" w14:textId="77777777" w:rsidTr="005E55AE">
        <w:trPr>
          <w:trHeight w:hRule="exact" w:val="312"/>
          <w:jc w:val="center"/>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14:paraId="0530C277" w14:textId="77777777" w:rsidR="00C70F0F" w:rsidRPr="00BA7367" w:rsidRDefault="00C70F0F" w:rsidP="00C70F0F">
            <w:pPr>
              <w:spacing w:line="240" w:lineRule="auto"/>
              <w:rPr>
                <w:rFonts w:eastAsia="Times New Roman" w:cs="Calibri"/>
                <w:color w:val="000000"/>
                <w:sz w:val="20"/>
                <w:szCs w:val="20"/>
              </w:rPr>
            </w:pPr>
            <w:r w:rsidRPr="00BA7367">
              <w:rPr>
                <w:rFonts w:eastAsia="Times New Roman" w:cs="Calibri"/>
                <w:color w:val="000000"/>
                <w:sz w:val="20"/>
                <w:szCs w:val="20"/>
              </w:rPr>
              <w:t>Vista Linda (Ezeiza)</w:t>
            </w:r>
          </w:p>
        </w:tc>
        <w:tc>
          <w:tcPr>
            <w:tcW w:w="1424" w:type="dxa"/>
            <w:tcBorders>
              <w:top w:val="nil"/>
              <w:left w:val="nil"/>
              <w:bottom w:val="single" w:sz="4" w:space="0" w:color="auto"/>
              <w:right w:val="single" w:sz="4" w:space="0" w:color="auto"/>
            </w:tcBorders>
            <w:shd w:val="clear" w:color="auto" w:fill="auto"/>
            <w:noWrap/>
            <w:vAlign w:val="center"/>
            <w:hideMark/>
          </w:tcPr>
          <w:p w14:paraId="3AA0F080"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16,8%</w:t>
            </w:r>
          </w:p>
        </w:tc>
        <w:tc>
          <w:tcPr>
            <w:tcW w:w="1566" w:type="dxa"/>
            <w:tcBorders>
              <w:top w:val="nil"/>
              <w:left w:val="nil"/>
              <w:bottom w:val="single" w:sz="4" w:space="0" w:color="auto"/>
              <w:right w:val="single" w:sz="4" w:space="0" w:color="auto"/>
            </w:tcBorders>
            <w:shd w:val="clear" w:color="auto" w:fill="auto"/>
            <w:noWrap/>
            <w:vAlign w:val="center"/>
            <w:hideMark/>
          </w:tcPr>
          <w:p w14:paraId="4B372ADA"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4,2%</w:t>
            </w:r>
          </w:p>
        </w:tc>
        <w:tc>
          <w:tcPr>
            <w:tcW w:w="1709" w:type="dxa"/>
            <w:tcBorders>
              <w:top w:val="nil"/>
              <w:left w:val="nil"/>
              <w:bottom w:val="single" w:sz="4" w:space="0" w:color="auto"/>
              <w:right w:val="single" w:sz="4" w:space="0" w:color="auto"/>
            </w:tcBorders>
            <w:shd w:val="clear" w:color="auto" w:fill="auto"/>
            <w:noWrap/>
            <w:vAlign w:val="center"/>
            <w:hideMark/>
          </w:tcPr>
          <w:p w14:paraId="1E73CA8F" w14:textId="77777777" w:rsidR="00C70F0F" w:rsidRPr="00BA7367" w:rsidRDefault="00C70F0F" w:rsidP="00C70F0F">
            <w:pPr>
              <w:spacing w:line="240" w:lineRule="auto"/>
              <w:jc w:val="center"/>
              <w:rPr>
                <w:rFonts w:eastAsia="Times New Roman" w:cs="Calibri"/>
                <w:color w:val="000000"/>
                <w:sz w:val="20"/>
                <w:szCs w:val="20"/>
              </w:rPr>
            </w:pPr>
            <w:r w:rsidRPr="00BA7367">
              <w:rPr>
                <w:rFonts w:eastAsia="Times New Roman" w:cs="Calibri"/>
                <w:color w:val="000000"/>
                <w:sz w:val="20"/>
                <w:szCs w:val="20"/>
              </w:rPr>
              <w:t>9,8%</w:t>
            </w:r>
          </w:p>
        </w:tc>
      </w:tr>
      <w:tr w:rsidR="00C70F0F" w:rsidRPr="00BA7367" w14:paraId="635ACF20" w14:textId="77777777" w:rsidTr="005E55AE">
        <w:trPr>
          <w:trHeight w:hRule="exact" w:val="335"/>
          <w:jc w:val="center"/>
        </w:trPr>
        <w:tc>
          <w:tcPr>
            <w:tcW w:w="4553" w:type="dxa"/>
            <w:tcBorders>
              <w:top w:val="nil"/>
              <w:left w:val="single" w:sz="4" w:space="0" w:color="auto"/>
              <w:bottom w:val="single" w:sz="4" w:space="0" w:color="auto"/>
              <w:right w:val="single" w:sz="4" w:space="0" w:color="auto"/>
            </w:tcBorders>
            <w:shd w:val="clear" w:color="000000" w:fill="E2EFDA"/>
            <w:vAlign w:val="center"/>
            <w:hideMark/>
          </w:tcPr>
          <w:p w14:paraId="2451E8CE"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Total operativos</w:t>
            </w:r>
          </w:p>
        </w:tc>
        <w:tc>
          <w:tcPr>
            <w:tcW w:w="1424" w:type="dxa"/>
            <w:tcBorders>
              <w:top w:val="nil"/>
              <w:left w:val="nil"/>
              <w:bottom w:val="single" w:sz="4" w:space="0" w:color="auto"/>
              <w:right w:val="single" w:sz="4" w:space="0" w:color="auto"/>
            </w:tcBorders>
            <w:shd w:val="clear" w:color="000000" w:fill="E2EFDA"/>
            <w:vAlign w:val="center"/>
            <w:hideMark/>
          </w:tcPr>
          <w:p w14:paraId="755CE04E"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7,5%</w:t>
            </w:r>
          </w:p>
        </w:tc>
        <w:tc>
          <w:tcPr>
            <w:tcW w:w="1566" w:type="dxa"/>
            <w:tcBorders>
              <w:top w:val="nil"/>
              <w:left w:val="nil"/>
              <w:bottom w:val="single" w:sz="4" w:space="0" w:color="auto"/>
              <w:right w:val="single" w:sz="4" w:space="0" w:color="auto"/>
            </w:tcBorders>
            <w:shd w:val="clear" w:color="000000" w:fill="E2EFDA"/>
            <w:vAlign w:val="center"/>
            <w:hideMark/>
          </w:tcPr>
          <w:p w14:paraId="0715F664"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3,2%</w:t>
            </w:r>
          </w:p>
        </w:tc>
        <w:tc>
          <w:tcPr>
            <w:tcW w:w="1709" w:type="dxa"/>
            <w:tcBorders>
              <w:top w:val="nil"/>
              <w:left w:val="nil"/>
              <w:bottom w:val="single" w:sz="4" w:space="0" w:color="auto"/>
              <w:right w:val="single" w:sz="4" w:space="0" w:color="auto"/>
            </w:tcBorders>
            <w:shd w:val="clear" w:color="000000" w:fill="E2EFDA"/>
            <w:vAlign w:val="center"/>
            <w:hideMark/>
          </w:tcPr>
          <w:p w14:paraId="709A1D16" w14:textId="77777777" w:rsidR="00C70F0F" w:rsidRPr="00BA7367" w:rsidRDefault="00C70F0F" w:rsidP="00C70F0F">
            <w:pPr>
              <w:spacing w:line="240" w:lineRule="auto"/>
              <w:jc w:val="center"/>
              <w:rPr>
                <w:rFonts w:eastAsia="Times New Roman" w:cs="Calibri"/>
                <w:b/>
                <w:bCs/>
                <w:color w:val="000000"/>
                <w:sz w:val="20"/>
                <w:szCs w:val="20"/>
              </w:rPr>
            </w:pPr>
            <w:r w:rsidRPr="00BA7367">
              <w:rPr>
                <w:rFonts w:eastAsia="Times New Roman" w:cs="Calibri"/>
                <w:b/>
                <w:bCs/>
                <w:color w:val="000000"/>
                <w:sz w:val="20"/>
                <w:szCs w:val="20"/>
              </w:rPr>
              <w:t>5,2%</w:t>
            </w:r>
          </w:p>
        </w:tc>
      </w:tr>
    </w:tbl>
    <w:p w14:paraId="1F1FE8F0" w14:textId="77777777" w:rsidR="00900D5B" w:rsidRDefault="00C70F0F">
      <w:pPr>
        <w:ind w:left="2280" w:firstLine="600"/>
        <w:rPr>
          <w:b/>
        </w:rPr>
      </w:pPr>
      <w:r>
        <w:rPr>
          <w:sz w:val="18"/>
          <w:szCs w:val="18"/>
        </w:rPr>
        <w:t>Fuente: elaboración propia en base a datos EISAAR</w:t>
      </w:r>
    </w:p>
    <w:p w14:paraId="26BD2B90" w14:textId="77777777" w:rsidR="00764EB9" w:rsidRDefault="00764EB9">
      <w:pPr>
        <w:ind w:firstLine="420"/>
      </w:pPr>
    </w:p>
    <w:p w14:paraId="4BE68F9C" w14:textId="587F8CD5" w:rsidR="00900D5B" w:rsidRPr="00BA7367" w:rsidRDefault="00C70F0F">
      <w:pPr>
        <w:ind w:firstLine="420"/>
        <w:rPr>
          <w:sz w:val="22"/>
        </w:rPr>
      </w:pPr>
      <w:r w:rsidRPr="00BA7367">
        <w:rPr>
          <w:sz w:val="22"/>
        </w:rPr>
        <w:t>Según lo referido por las personas entrevistadas en los barrios relevados en operativos EISAAR de la CMR, el 13,</w:t>
      </w:r>
      <w:r w:rsidR="00071D0A" w:rsidRPr="00BA7367">
        <w:rPr>
          <w:sz w:val="22"/>
        </w:rPr>
        <w:t>4</w:t>
      </w:r>
      <w:r w:rsidRPr="00BA7367">
        <w:rPr>
          <w:sz w:val="22"/>
        </w:rPr>
        <w:t>% (</w:t>
      </w:r>
      <w:r w:rsidR="002D6A55" w:rsidRPr="00BA7367">
        <w:rPr>
          <w:sz w:val="22"/>
        </w:rPr>
        <w:t>1338</w:t>
      </w:r>
      <w:r w:rsidRPr="00BA7367">
        <w:rPr>
          <w:sz w:val="22"/>
        </w:rPr>
        <w:t xml:space="preserve">) de las personas mayores de 18 años (N: 5941) tenían la presión arterial elevada o hipertensión. En la Tercera Encuesta Nacional de Factores de Riesgo el 34,1% refirió tener presión arterial elevado en nuestro país, el 34,5% en la </w:t>
      </w:r>
      <w:r w:rsidRPr="00BA7367">
        <w:rPr>
          <w:sz w:val="22"/>
        </w:rPr>
        <w:lastRenderedPageBreak/>
        <w:t>provincia de Bs. As. y el 28,5% en la CABA (</w:t>
      </w:r>
      <w:proofErr w:type="spellStart"/>
      <w:r w:rsidRPr="00BA7367">
        <w:rPr>
          <w:sz w:val="22"/>
        </w:rPr>
        <w:t>MSal</w:t>
      </w:r>
      <w:proofErr w:type="spellEnd"/>
      <w:r w:rsidRPr="00BA7367">
        <w:rPr>
          <w:sz w:val="22"/>
        </w:rPr>
        <w:t>, 2013)</w:t>
      </w:r>
      <w:r w:rsidRPr="00BA7367">
        <w:rPr>
          <w:sz w:val="22"/>
          <w:vertAlign w:val="superscript"/>
        </w:rPr>
        <w:footnoteReference w:id="3"/>
      </w:r>
      <w:r w:rsidRPr="00BA7367">
        <w:rPr>
          <w:sz w:val="22"/>
        </w:rPr>
        <w:t>.</w:t>
      </w:r>
    </w:p>
    <w:p w14:paraId="6720336E" w14:textId="0061DB4F" w:rsidR="00900D5B" w:rsidRPr="00BA7367" w:rsidRDefault="00C70F0F">
      <w:pPr>
        <w:ind w:firstLine="420"/>
        <w:rPr>
          <w:b/>
          <w:sz w:val="22"/>
        </w:rPr>
      </w:pPr>
      <w:r w:rsidRPr="00BA7367">
        <w:rPr>
          <w:sz w:val="22"/>
        </w:rPr>
        <w:t xml:space="preserve">Según lo relevado, el </w:t>
      </w:r>
      <w:r w:rsidR="00071D0A" w:rsidRPr="00BA7367">
        <w:rPr>
          <w:sz w:val="22"/>
        </w:rPr>
        <w:t>5,9</w:t>
      </w:r>
      <w:r w:rsidRPr="00BA7367">
        <w:rPr>
          <w:sz w:val="22"/>
        </w:rPr>
        <w:t>% (</w:t>
      </w:r>
      <w:r w:rsidR="002D6A55" w:rsidRPr="00BA7367">
        <w:rPr>
          <w:sz w:val="22"/>
        </w:rPr>
        <w:t>592</w:t>
      </w:r>
      <w:r w:rsidRPr="00BA7367">
        <w:rPr>
          <w:sz w:val="22"/>
        </w:rPr>
        <w:t>) de las personas mayores de 18 años tenían “Azúcar elevada” en sangre o diabetes. A nivel nacional la prevalencia fue de 9,8% al igual que en la Prov. de Buenos Aires, en la CABA fue de 8,2% (ENFR, 2013).</w:t>
      </w:r>
    </w:p>
    <w:p w14:paraId="5961E20B" w14:textId="678A80EF" w:rsidR="00900D5B" w:rsidRPr="00BA7367" w:rsidRDefault="00C70F0F">
      <w:pPr>
        <w:ind w:firstLine="420"/>
        <w:rPr>
          <w:sz w:val="22"/>
        </w:rPr>
      </w:pPr>
      <w:r w:rsidRPr="00BA7367">
        <w:rPr>
          <w:sz w:val="22"/>
        </w:rPr>
        <w:t xml:space="preserve">En relación a colesterol elevado, se registró un </w:t>
      </w:r>
      <w:r w:rsidR="00786F8C" w:rsidRPr="00BA7367">
        <w:rPr>
          <w:sz w:val="22"/>
        </w:rPr>
        <w:t>4,5</w:t>
      </w:r>
      <w:r w:rsidRPr="00BA7367">
        <w:rPr>
          <w:sz w:val="22"/>
        </w:rPr>
        <w:t xml:space="preserve">% </w:t>
      </w:r>
      <w:r w:rsidR="002D6A55" w:rsidRPr="00BA7367">
        <w:rPr>
          <w:sz w:val="22"/>
        </w:rPr>
        <w:t>(445</w:t>
      </w:r>
      <w:r w:rsidRPr="00BA7367">
        <w:rPr>
          <w:sz w:val="22"/>
        </w:rPr>
        <w:t>) en las personas mayores de 18 años; a nivel país dicho valor fue del 29,8%, en la provincia de Bs. As. fue de 30,4%, y en la CABA de 27,9</w:t>
      </w:r>
      <w:r w:rsidR="00116041" w:rsidRPr="00BA7367">
        <w:rPr>
          <w:sz w:val="22"/>
        </w:rPr>
        <w:t>% (</w:t>
      </w:r>
      <w:r w:rsidRPr="00BA7367">
        <w:rPr>
          <w:sz w:val="22"/>
        </w:rPr>
        <w:t>ENFR, 2013).</w:t>
      </w:r>
    </w:p>
    <w:p w14:paraId="1B29AD18" w14:textId="55DE3E1D" w:rsidR="00900D5B" w:rsidRPr="00BA7367" w:rsidRDefault="00C70F0F">
      <w:pPr>
        <w:ind w:firstLine="420"/>
        <w:rPr>
          <w:sz w:val="22"/>
        </w:rPr>
      </w:pPr>
      <w:r w:rsidRPr="00BA7367">
        <w:rPr>
          <w:sz w:val="22"/>
        </w:rPr>
        <w:t xml:space="preserve">En el </w:t>
      </w:r>
      <w:r w:rsidR="00786F8C" w:rsidRPr="00BA7367">
        <w:rPr>
          <w:sz w:val="22"/>
        </w:rPr>
        <w:t>1,7</w:t>
      </w:r>
      <w:r w:rsidRPr="00BA7367">
        <w:rPr>
          <w:sz w:val="22"/>
        </w:rPr>
        <w:t>% (</w:t>
      </w:r>
      <w:r w:rsidR="002D6A55" w:rsidRPr="00BA7367">
        <w:rPr>
          <w:sz w:val="22"/>
        </w:rPr>
        <w:t>166</w:t>
      </w:r>
      <w:r w:rsidRPr="00BA7367">
        <w:rPr>
          <w:sz w:val="22"/>
        </w:rPr>
        <w:t>) de los mayores de 18 años hubo referencia a haber padecido un ataque cardíaco. A nivel nacional se estimó una prevalencia de 3,8%, en la Provincia de Bs. As. de 3% y en la CABA de 4,2 % (ENFR, 2013).</w:t>
      </w:r>
    </w:p>
    <w:p w14:paraId="28E2372E" w14:textId="4719B98A" w:rsidR="00900D5B" w:rsidRPr="00BA7367" w:rsidRDefault="00C70F0F">
      <w:pPr>
        <w:ind w:firstLine="420"/>
        <w:rPr>
          <w:sz w:val="22"/>
        </w:rPr>
      </w:pPr>
      <w:r w:rsidRPr="00BA7367">
        <w:rPr>
          <w:sz w:val="22"/>
        </w:rPr>
        <w:t xml:space="preserve">Los entrevistados refirieron </w:t>
      </w:r>
      <w:r w:rsidR="00116041" w:rsidRPr="00BA7367">
        <w:rPr>
          <w:sz w:val="22"/>
        </w:rPr>
        <w:t>en 1</w:t>
      </w:r>
      <w:r w:rsidR="00786F8C" w:rsidRPr="00BA7367">
        <w:rPr>
          <w:sz w:val="22"/>
        </w:rPr>
        <w:t>,6</w:t>
      </w:r>
      <w:r w:rsidRPr="00BA7367">
        <w:rPr>
          <w:sz w:val="22"/>
        </w:rPr>
        <w:t>% (</w:t>
      </w:r>
      <w:r w:rsidR="002D6A55" w:rsidRPr="00BA7367">
        <w:rPr>
          <w:sz w:val="22"/>
        </w:rPr>
        <w:t>157</w:t>
      </w:r>
      <w:r w:rsidRPr="00BA7367">
        <w:rPr>
          <w:sz w:val="22"/>
        </w:rPr>
        <w:t>) de las personas mayores de 18 años el antecedente de Accidente Cerebro Vascular (ACV); a nivel nacional la prevalencia de ACV fue de 1,9%, en la Provincia de Bs. As. fue 2,1% y en la CABA también de 2,1%. (ENFR, 2013</w:t>
      </w:r>
      <w:r w:rsidR="00116041" w:rsidRPr="00BA7367">
        <w:rPr>
          <w:sz w:val="22"/>
        </w:rPr>
        <w:t>). Tabla</w:t>
      </w:r>
      <w:r w:rsidRPr="00BA7367">
        <w:rPr>
          <w:sz w:val="22"/>
        </w:rPr>
        <w:t xml:space="preserve"> </w:t>
      </w:r>
      <w:r w:rsidR="00C06348" w:rsidRPr="00BA7367">
        <w:rPr>
          <w:sz w:val="22"/>
        </w:rPr>
        <w:t>8</w:t>
      </w:r>
      <w:r w:rsidRPr="00BA7367">
        <w:rPr>
          <w:sz w:val="22"/>
        </w:rPr>
        <w:t>.</w:t>
      </w:r>
    </w:p>
    <w:p w14:paraId="096BA1CD" w14:textId="77777777" w:rsidR="00900D5B" w:rsidRPr="00BA7367" w:rsidRDefault="00C70F0F">
      <w:pPr>
        <w:ind w:firstLine="420"/>
        <w:rPr>
          <w:sz w:val="22"/>
        </w:rPr>
      </w:pPr>
      <w:r w:rsidRPr="00BA7367">
        <w:rPr>
          <w:sz w:val="22"/>
        </w:rPr>
        <w:t xml:space="preserve">Cabe destacar que las diferencias en la estructura de edad poblacional pueden producir diferencias en la presentación de estas patologías; ya que las mismas aumentan su frecuencia de presentación en poblaciones envejecidas, siendo la población de las EISAAR más joven que el resto de las jurisdicciones (Argentina, Buenos Aires, CABA). </w:t>
      </w:r>
    </w:p>
    <w:p w14:paraId="78473B68" w14:textId="77777777" w:rsidR="00F05996" w:rsidRPr="00BA7367" w:rsidRDefault="00F05996" w:rsidP="002D6A55">
      <w:pPr>
        <w:ind w:firstLine="0"/>
        <w:rPr>
          <w:sz w:val="22"/>
        </w:rPr>
      </w:pPr>
    </w:p>
    <w:p w14:paraId="5FBF0F52" w14:textId="77777777" w:rsidR="00900D5B" w:rsidRPr="00BA7367" w:rsidRDefault="00900D5B">
      <w:pPr>
        <w:rPr>
          <w:b/>
          <w:sz w:val="22"/>
        </w:rPr>
      </w:pPr>
    </w:p>
    <w:p w14:paraId="3FBBB772" w14:textId="106909FE" w:rsidR="00900D5B" w:rsidRPr="00BA7367" w:rsidRDefault="00C70F0F">
      <w:pPr>
        <w:ind w:firstLine="0"/>
        <w:rPr>
          <w:sz w:val="22"/>
        </w:rPr>
      </w:pPr>
      <w:r w:rsidRPr="00BA7367">
        <w:rPr>
          <w:b/>
          <w:sz w:val="22"/>
        </w:rPr>
        <w:t xml:space="preserve">Tabla </w:t>
      </w:r>
      <w:r w:rsidR="00C06348" w:rsidRPr="00BA7367">
        <w:rPr>
          <w:b/>
          <w:sz w:val="22"/>
        </w:rPr>
        <w:t>8</w:t>
      </w:r>
      <w:r w:rsidRPr="00BA7367">
        <w:rPr>
          <w:b/>
          <w:sz w:val="22"/>
        </w:rPr>
        <w:t>:</w:t>
      </w:r>
      <w:r w:rsidRPr="00BA7367">
        <w:rPr>
          <w:sz w:val="22"/>
        </w:rPr>
        <w:t xml:space="preserve"> Enfermedades crónicas no transmisibles referidas por un miembro del hogar sobre las personas de 18 años y más de ese hogar. Barrios relevados de la CMR enero-</w:t>
      </w:r>
      <w:r w:rsidR="009A4881" w:rsidRPr="00BA7367">
        <w:rPr>
          <w:sz w:val="22"/>
        </w:rPr>
        <w:t xml:space="preserve">octubre </w:t>
      </w:r>
      <w:r w:rsidRPr="00BA7367">
        <w:rPr>
          <w:sz w:val="22"/>
        </w:rPr>
        <w:t>2019.  n=</w:t>
      </w:r>
      <w:r w:rsidR="009A4881" w:rsidRPr="00BA7367">
        <w:rPr>
          <w:sz w:val="22"/>
        </w:rPr>
        <w:t>9992</w:t>
      </w:r>
      <w:r w:rsidRPr="00BA7367">
        <w:rPr>
          <w:sz w:val="22"/>
        </w:rPr>
        <w:t>.</w:t>
      </w:r>
    </w:p>
    <w:p w14:paraId="1F797785" w14:textId="77777777" w:rsidR="00F05996" w:rsidRDefault="00F05996">
      <w:pPr>
        <w:ind w:firstLine="0"/>
      </w:pPr>
    </w:p>
    <w:tbl>
      <w:tblPr>
        <w:tblW w:w="10008" w:type="dxa"/>
        <w:jc w:val="center"/>
        <w:tblLayout w:type="fixed"/>
        <w:tblCellMar>
          <w:left w:w="70" w:type="dxa"/>
          <w:right w:w="70" w:type="dxa"/>
        </w:tblCellMar>
        <w:tblLook w:val="04A0" w:firstRow="1" w:lastRow="0" w:firstColumn="1" w:lastColumn="0" w:noHBand="0" w:noVBand="1"/>
      </w:tblPr>
      <w:tblGrid>
        <w:gridCol w:w="2606"/>
        <w:gridCol w:w="1151"/>
        <w:gridCol w:w="1457"/>
        <w:gridCol w:w="1269"/>
        <w:gridCol w:w="987"/>
        <w:gridCol w:w="1269"/>
        <w:gridCol w:w="1269"/>
      </w:tblGrid>
      <w:tr w:rsidR="00A45E15" w:rsidRPr="00AF1F1F" w14:paraId="598508D5" w14:textId="77777777" w:rsidTr="005E55AE">
        <w:trPr>
          <w:trHeight w:val="1547"/>
          <w:jc w:val="center"/>
        </w:trPr>
        <w:tc>
          <w:tcPr>
            <w:tcW w:w="2606"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11EADA66" w14:textId="77777777" w:rsidR="00F05996" w:rsidRPr="00AF1F1F" w:rsidRDefault="00F05996">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Barrio</w:t>
            </w:r>
          </w:p>
        </w:tc>
        <w:tc>
          <w:tcPr>
            <w:tcW w:w="1151" w:type="dxa"/>
            <w:tcBorders>
              <w:top w:val="single" w:sz="4" w:space="0" w:color="auto"/>
              <w:left w:val="nil"/>
              <w:bottom w:val="single" w:sz="4" w:space="0" w:color="auto"/>
              <w:right w:val="single" w:sz="4" w:space="0" w:color="auto"/>
            </w:tcBorders>
            <w:shd w:val="clear" w:color="000000" w:fill="FFE699"/>
            <w:vAlign w:val="center"/>
            <w:hideMark/>
          </w:tcPr>
          <w:p w14:paraId="79C92D8E"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Asma-Enfisema-Bronquitis crónica</w:t>
            </w:r>
          </w:p>
        </w:tc>
        <w:tc>
          <w:tcPr>
            <w:tcW w:w="1457" w:type="dxa"/>
            <w:tcBorders>
              <w:top w:val="single" w:sz="4" w:space="0" w:color="auto"/>
              <w:left w:val="nil"/>
              <w:bottom w:val="single" w:sz="4" w:space="0" w:color="auto"/>
              <w:right w:val="single" w:sz="4" w:space="0" w:color="auto"/>
            </w:tcBorders>
            <w:shd w:val="clear" w:color="000000" w:fill="FFE699"/>
            <w:vAlign w:val="center"/>
            <w:hideMark/>
          </w:tcPr>
          <w:p w14:paraId="35E58AC3"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Presión elevada o hipertensión</w:t>
            </w:r>
          </w:p>
        </w:tc>
        <w:tc>
          <w:tcPr>
            <w:tcW w:w="1269" w:type="dxa"/>
            <w:tcBorders>
              <w:top w:val="single" w:sz="4" w:space="0" w:color="auto"/>
              <w:left w:val="nil"/>
              <w:bottom w:val="single" w:sz="4" w:space="0" w:color="auto"/>
              <w:right w:val="single" w:sz="4" w:space="0" w:color="auto"/>
            </w:tcBorders>
            <w:shd w:val="clear" w:color="000000" w:fill="FFE699"/>
            <w:vAlign w:val="center"/>
            <w:hideMark/>
          </w:tcPr>
          <w:p w14:paraId="42091D27"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Ataque cardíaco / infarto</w:t>
            </w:r>
          </w:p>
        </w:tc>
        <w:tc>
          <w:tcPr>
            <w:tcW w:w="987" w:type="dxa"/>
            <w:tcBorders>
              <w:top w:val="single" w:sz="4" w:space="0" w:color="auto"/>
              <w:left w:val="nil"/>
              <w:bottom w:val="single" w:sz="4" w:space="0" w:color="auto"/>
              <w:right w:val="single" w:sz="4" w:space="0" w:color="auto"/>
            </w:tcBorders>
            <w:shd w:val="clear" w:color="000000" w:fill="FFE699"/>
            <w:vAlign w:val="center"/>
            <w:hideMark/>
          </w:tcPr>
          <w:p w14:paraId="72B0317D"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ACV</w:t>
            </w:r>
          </w:p>
        </w:tc>
        <w:tc>
          <w:tcPr>
            <w:tcW w:w="1269" w:type="dxa"/>
            <w:tcBorders>
              <w:top w:val="single" w:sz="4" w:space="0" w:color="auto"/>
              <w:left w:val="nil"/>
              <w:bottom w:val="single" w:sz="4" w:space="0" w:color="auto"/>
              <w:right w:val="single" w:sz="4" w:space="0" w:color="auto"/>
            </w:tcBorders>
            <w:shd w:val="clear" w:color="000000" w:fill="FFE699"/>
            <w:vAlign w:val="center"/>
            <w:hideMark/>
          </w:tcPr>
          <w:p w14:paraId="6C677DD2"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“Azúcar elevada” en sangre o diabetes</w:t>
            </w:r>
          </w:p>
        </w:tc>
        <w:tc>
          <w:tcPr>
            <w:tcW w:w="1269" w:type="dxa"/>
            <w:tcBorders>
              <w:top w:val="single" w:sz="4" w:space="0" w:color="auto"/>
              <w:left w:val="nil"/>
              <w:bottom w:val="single" w:sz="4" w:space="0" w:color="auto"/>
              <w:right w:val="single" w:sz="4" w:space="0" w:color="auto"/>
            </w:tcBorders>
            <w:shd w:val="clear" w:color="000000" w:fill="FFE699"/>
            <w:vAlign w:val="center"/>
            <w:hideMark/>
          </w:tcPr>
          <w:p w14:paraId="5952D367" w14:textId="77777777" w:rsidR="00F05996" w:rsidRPr="00AF1F1F" w:rsidRDefault="00F05996" w:rsidP="00786F8C">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Colesterol elevado</w:t>
            </w:r>
          </w:p>
        </w:tc>
      </w:tr>
      <w:tr w:rsidR="00A45E15" w:rsidRPr="00AF1F1F" w14:paraId="2155FB9F"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5FB0BB3A"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1 de Octubre (Lomas de Zamora)</w:t>
            </w:r>
          </w:p>
        </w:tc>
        <w:tc>
          <w:tcPr>
            <w:tcW w:w="1151" w:type="dxa"/>
            <w:tcBorders>
              <w:top w:val="nil"/>
              <w:left w:val="nil"/>
              <w:bottom w:val="single" w:sz="4" w:space="0" w:color="auto"/>
              <w:right w:val="single" w:sz="4" w:space="0" w:color="auto"/>
            </w:tcBorders>
            <w:shd w:val="clear" w:color="auto" w:fill="auto"/>
            <w:noWrap/>
            <w:vAlign w:val="bottom"/>
            <w:hideMark/>
          </w:tcPr>
          <w:p w14:paraId="1A0B96D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3,8%</w:t>
            </w:r>
          </w:p>
        </w:tc>
        <w:tc>
          <w:tcPr>
            <w:tcW w:w="1457" w:type="dxa"/>
            <w:tcBorders>
              <w:top w:val="nil"/>
              <w:left w:val="nil"/>
              <w:bottom w:val="single" w:sz="4" w:space="0" w:color="auto"/>
              <w:right w:val="single" w:sz="4" w:space="0" w:color="auto"/>
            </w:tcBorders>
            <w:shd w:val="clear" w:color="auto" w:fill="auto"/>
            <w:noWrap/>
            <w:vAlign w:val="bottom"/>
            <w:hideMark/>
          </w:tcPr>
          <w:p w14:paraId="49A63F6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12,0%</w:t>
            </w:r>
          </w:p>
        </w:tc>
        <w:tc>
          <w:tcPr>
            <w:tcW w:w="1269" w:type="dxa"/>
            <w:tcBorders>
              <w:top w:val="nil"/>
              <w:left w:val="nil"/>
              <w:bottom w:val="single" w:sz="4" w:space="0" w:color="auto"/>
              <w:right w:val="single" w:sz="4" w:space="0" w:color="auto"/>
            </w:tcBorders>
            <w:shd w:val="clear" w:color="auto" w:fill="auto"/>
            <w:noWrap/>
            <w:vAlign w:val="bottom"/>
            <w:hideMark/>
          </w:tcPr>
          <w:p w14:paraId="09DAF39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2,3%</w:t>
            </w:r>
          </w:p>
        </w:tc>
        <w:tc>
          <w:tcPr>
            <w:tcW w:w="987" w:type="dxa"/>
            <w:tcBorders>
              <w:top w:val="nil"/>
              <w:left w:val="nil"/>
              <w:bottom w:val="single" w:sz="4" w:space="0" w:color="auto"/>
              <w:right w:val="single" w:sz="4" w:space="0" w:color="auto"/>
            </w:tcBorders>
            <w:shd w:val="clear" w:color="auto" w:fill="auto"/>
            <w:noWrap/>
            <w:vAlign w:val="bottom"/>
            <w:hideMark/>
          </w:tcPr>
          <w:p w14:paraId="2FC0936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w:t>
            </w:r>
          </w:p>
        </w:tc>
        <w:tc>
          <w:tcPr>
            <w:tcW w:w="1269" w:type="dxa"/>
            <w:tcBorders>
              <w:top w:val="nil"/>
              <w:left w:val="nil"/>
              <w:bottom w:val="single" w:sz="4" w:space="0" w:color="auto"/>
              <w:right w:val="single" w:sz="4" w:space="0" w:color="auto"/>
            </w:tcBorders>
            <w:shd w:val="clear" w:color="auto" w:fill="auto"/>
            <w:noWrap/>
            <w:vAlign w:val="bottom"/>
            <w:hideMark/>
          </w:tcPr>
          <w:p w14:paraId="09E4515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8,5%</w:t>
            </w:r>
          </w:p>
        </w:tc>
        <w:tc>
          <w:tcPr>
            <w:tcW w:w="1269" w:type="dxa"/>
            <w:tcBorders>
              <w:top w:val="nil"/>
              <w:left w:val="nil"/>
              <w:bottom w:val="single" w:sz="4" w:space="0" w:color="auto"/>
              <w:right w:val="single" w:sz="4" w:space="0" w:color="auto"/>
            </w:tcBorders>
            <w:shd w:val="clear" w:color="auto" w:fill="auto"/>
            <w:noWrap/>
            <w:vAlign w:val="bottom"/>
            <w:hideMark/>
          </w:tcPr>
          <w:p w14:paraId="1711CF9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r>
      <w:tr w:rsidR="00A45E15" w:rsidRPr="00AF1F1F" w14:paraId="50724BC7"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7AA2D0D5"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2 de mayo (Lomas de Zamora)</w:t>
            </w:r>
          </w:p>
        </w:tc>
        <w:tc>
          <w:tcPr>
            <w:tcW w:w="1151" w:type="dxa"/>
            <w:tcBorders>
              <w:top w:val="nil"/>
              <w:left w:val="nil"/>
              <w:bottom w:val="single" w:sz="4" w:space="0" w:color="auto"/>
              <w:right w:val="single" w:sz="4" w:space="0" w:color="auto"/>
            </w:tcBorders>
            <w:shd w:val="clear" w:color="auto" w:fill="auto"/>
            <w:noWrap/>
            <w:vAlign w:val="bottom"/>
            <w:hideMark/>
          </w:tcPr>
          <w:p w14:paraId="533285E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4,7%</w:t>
            </w:r>
          </w:p>
        </w:tc>
        <w:tc>
          <w:tcPr>
            <w:tcW w:w="1457" w:type="dxa"/>
            <w:tcBorders>
              <w:top w:val="nil"/>
              <w:left w:val="nil"/>
              <w:bottom w:val="single" w:sz="4" w:space="0" w:color="auto"/>
              <w:right w:val="single" w:sz="4" w:space="0" w:color="auto"/>
            </w:tcBorders>
            <w:shd w:val="clear" w:color="auto" w:fill="auto"/>
            <w:noWrap/>
            <w:vAlign w:val="bottom"/>
            <w:hideMark/>
          </w:tcPr>
          <w:p w14:paraId="5448830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13,4%</w:t>
            </w:r>
          </w:p>
        </w:tc>
        <w:tc>
          <w:tcPr>
            <w:tcW w:w="1269" w:type="dxa"/>
            <w:tcBorders>
              <w:top w:val="nil"/>
              <w:left w:val="nil"/>
              <w:bottom w:val="single" w:sz="4" w:space="0" w:color="auto"/>
              <w:right w:val="single" w:sz="4" w:space="0" w:color="auto"/>
            </w:tcBorders>
            <w:shd w:val="clear" w:color="auto" w:fill="auto"/>
            <w:noWrap/>
            <w:vAlign w:val="bottom"/>
            <w:hideMark/>
          </w:tcPr>
          <w:p w14:paraId="7CD78AA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2,3%</w:t>
            </w:r>
          </w:p>
        </w:tc>
        <w:tc>
          <w:tcPr>
            <w:tcW w:w="987" w:type="dxa"/>
            <w:tcBorders>
              <w:top w:val="nil"/>
              <w:left w:val="nil"/>
              <w:bottom w:val="single" w:sz="4" w:space="0" w:color="auto"/>
              <w:right w:val="single" w:sz="4" w:space="0" w:color="auto"/>
            </w:tcBorders>
            <w:shd w:val="clear" w:color="auto" w:fill="auto"/>
            <w:noWrap/>
            <w:vAlign w:val="bottom"/>
            <w:hideMark/>
          </w:tcPr>
          <w:p w14:paraId="73EEB36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w:t>
            </w:r>
          </w:p>
        </w:tc>
        <w:tc>
          <w:tcPr>
            <w:tcW w:w="1269" w:type="dxa"/>
            <w:tcBorders>
              <w:top w:val="nil"/>
              <w:left w:val="nil"/>
              <w:bottom w:val="single" w:sz="4" w:space="0" w:color="auto"/>
              <w:right w:val="single" w:sz="4" w:space="0" w:color="auto"/>
            </w:tcBorders>
            <w:shd w:val="clear" w:color="auto" w:fill="auto"/>
            <w:noWrap/>
            <w:vAlign w:val="bottom"/>
            <w:hideMark/>
          </w:tcPr>
          <w:p w14:paraId="27648F8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8,4%</w:t>
            </w:r>
          </w:p>
        </w:tc>
        <w:tc>
          <w:tcPr>
            <w:tcW w:w="1269" w:type="dxa"/>
            <w:tcBorders>
              <w:top w:val="nil"/>
              <w:left w:val="nil"/>
              <w:bottom w:val="single" w:sz="4" w:space="0" w:color="auto"/>
              <w:right w:val="single" w:sz="4" w:space="0" w:color="auto"/>
            </w:tcBorders>
            <w:shd w:val="clear" w:color="auto" w:fill="auto"/>
            <w:noWrap/>
            <w:vAlign w:val="bottom"/>
            <w:hideMark/>
          </w:tcPr>
          <w:p w14:paraId="57E3925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6,4%</w:t>
            </w:r>
          </w:p>
        </w:tc>
      </w:tr>
      <w:tr w:rsidR="00A45E15" w:rsidRPr="00AF1F1F" w14:paraId="51896C96"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BD1FD44"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24 viviendas (Lomas de Zamora)</w:t>
            </w:r>
          </w:p>
        </w:tc>
        <w:tc>
          <w:tcPr>
            <w:tcW w:w="1151" w:type="dxa"/>
            <w:tcBorders>
              <w:top w:val="nil"/>
              <w:left w:val="nil"/>
              <w:bottom w:val="single" w:sz="4" w:space="0" w:color="auto"/>
              <w:right w:val="single" w:sz="4" w:space="0" w:color="auto"/>
            </w:tcBorders>
            <w:shd w:val="clear" w:color="auto" w:fill="auto"/>
            <w:noWrap/>
            <w:vAlign w:val="bottom"/>
            <w:hideMark/>
          </w:tcPr>
          <w:p w14:paraId="51EDE9B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3,2%</w:t>
            </w:r>
          </w:p>
        </w:tc>
        <w:tc>
          <w:tcPr>
            <w:tcW w:w="1457" w:type="dxa"/>
            <w:tcBorders>
              <w:top w:val="nil"/>
              <w:left w:val="nil"/>
              <w:bottom w:val="single" w:sz="4" w:space="0" w:color="auto"/>
              <w:right w:val="single" w:sz="4" w:space="0" w:color="auto"/>
            </w:tcBorders>
            <w:shd w:val="clear" w:color="auto" w:fill="auto"/>
            <w:noWrap/>
            <w:vAlign w:val="bottom"/>
            <w:hideMark/>
          </w:tcPr>
          <w:p w14:paraId="2F2C5E1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9,7%</w:t>
            </w:r>
          </w:p>
        </w:tc>
        <w:tc>
          <w:tcPr>
            <w:tcW w:w="1269" w:type="dxa"/>
            <w:tcBorders>
              <w:top w:val="nil"/>
              <w:left w:val="nil"/>
              <w:bottom w:val="single" w:sz="4" w:space="0" w:color="auto"/>
              <w:right w:val="single" w:sz="4" w:space="0" w:color="auto"/>
            </w:tcBorders>
            <w:shd w:val="clear" w:color="auto" w:fill="auto"/>
            <w:noWrap/>
            <w:vAlign w:val="bottom"/>
            <w:hideMark/>
          </w:tcPr>
          <w:p w14:paraId="5423345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659B8AC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1B26DAD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3CA643F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3,2%</w:t>
            </w:r>
          </w:p>
        </w:tc>
      </w:tr>
      <w:tr w:rsidR="00A45E15" w:rsidRPr="00AF1F1F" w14:paraId="468B31D7"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20178FE2"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9 de Enero /Los Álamos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42F79F5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457" w:type="dxa"/>
            <w:tcBorders>
              <w:top w:val="nil"/>
              <w:left w:val="nil"/>
              <w:bottom w:val="single" w:sz="4" w:space="0" w:color="auto"/>
              <w:right w:val="single" w:sz="4" w:space="0" w:color="auto"/>
            </w:tcBorders>
            <w:shd w:val="clear" w:color="auto" w:fill="auto"/>
            <w:noWrap/>
            <w:vAlign w:val="bottom"/>
            <w:hideMark/>
          </w:tcPr>
          <w:p w14:paraId="30A8254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13,0%</w:t>
            </w:r>
          </w:p>
        </w:tc>
        <w:tc>
          <w:tcPr>
            <w:tcW w:w="1269" w:type="dxa"/>
            <w:tcBorders>
              <w:top w:val="nil"/>
              <w:left w:val="nil"/>
              <w:bottom w:val="single" w:sz="4" w:space="0" w:color="auto"/>
              <w:right w:val="single" w:sz="4" w:space="0" w:color="auto"/>
            </w:tcBorders>
            <w:shd w:val="clear" w:color="auto" w:fill="auto"/>
            <w:noWrap/>
            <w:vAlign w:val="bottom"/>
            <w:hideMark/>
          </w:tcPr>
          <w:p w14:paraId="3DAA940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987" w:type="dxa"/>
            <w:tcBorders>
              <w:top w:val="nil"/>
              <w:left w:val="nil"/>
              <w:bottom w:val="single" w:sz="4" w:space="0" w:color="auto"/>
              <w:right w:val="single" w:sz="4" w:space="0" w:color="auto"/>
            </w:tcBorders>
            <w:shd w:val="clear" w:color="auto" w:fill="auto"/>
            <w:noWrap/>
            <w:vAlign w:val="bottom"/>
            <w:hideMark/>
          </w:tcPr>
          <w:p w14:paraId="53FE4AE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0,8%</w:t>
            </w:r>
          </w:p>
        </w:tc>
        <w:tc>
          <w:tcPr>
            <w:tcW w:w="1269" w:type="dxa"/>
            <w:tcBorders>
              <w:top w:val="nil"/>
              <w:left w:val="nil"/>
              <w:bottom w:val="single" w:sz="4" w:space="0" w:color="auto"/>
              <w:right w:val="single" w:sz="4" w:space="0" w:color="auto"/>
            </w:tcBorders>
            <w:shd w:val="clear" w:color="auto" w:fill="auto"/>
            <w:noWrap/>
            <w:vAlign w:val="bottom"/>
            <w:hideMark/>
          </w:tcPr>
          <w:p w14:paraId="5D8B6E4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269" w:type="dxa"/>
            <w:tcBorders>
              <w:top w:val="nil"/>
              <w:left w:val="nil"/>
              <w:bottom w:val="single" w:sz="4" w:space="0" w:color="auto"/>
              <w:right w:val="single" w:sz="4" w:space="0" w:color="auto"/>
            </w:tcBorders>
            <w:shd w:val="clear" w:color="auto" w:fill="auto"/>
            <w:noWrap/>
            <w:vAlign w:val="bottom"/>
            <w:hideMark/>
          </w:tcPr>
          <w:p w14:paraId="4911AF9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r>
      <w:tr w:rsidR="00A45E15" w:rsidRPr="00AF1F1F" w14:paraId="1B0C8967"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503DF18"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Barrio Libertad (Cañuelas)</w:t>
            </w:r>
          </w:p>
        </w:tc>
        <w:tc>
          <w:tcPr>
            <w:tcW w:w="1151" w:type="dxa"/>
            <w:tcBorders>
              <w:top w:val="nil"/>
              <w:left w:val="nil"/>
              <w:bottom w:val="single" w:sz="4" w:space="0" w:color="auto"/>
              <w:right w:val="single" w:sz="4" w:space="0" w:color="auto"/>
            </w:tcBorders>
            <w:shd w:val="clear" w:color="auto" w:fill="auto"/>
            <w:noWrap/>
            <w:vAlign w:val="bottom"/>
            <w:hideMark/>
          </w:tcPr>
          <w:p w14:paraId="60927B5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c>
          <w:tcPr>
            <w:tcW w:w="1457" w:type="dxa"/>
            <w:tcBorders>
              <w:top w:val="nil"/>
              <w:left w:val="nil"/>
              <w:bottom w:val="single" w:sz="4" w:space="0" w:color="auto"/>
              <w:right w:val="single" w:sz="4" w:space="0" w:color="auto"/>
            </w:tcBorders>
            <w:shd w:val="clear" w:color="auto" w:fill="auto"/>
            <w:noWrap/>
            <w:vAlign w:val="bottom"/>
            <w:hideMark/>
          </w:tcPr>
          <w:p w14:paraId="6E9216A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10,9%</w:t>
            </w:r>
          </w:p>
        </w:tc>
        <w:tc>
          <w:tcPr>
            <w:tcW w:w="1269" w:type="dxa"/>
            <w:tcBorders>
              <w:top w:val="nil"/>
              <w:left w:val="nil"/>
              <w:bottom w:val="single" w:sz="4" w:space="0" w:color="auto"/>
              <w:right w:val="single" w:sz="4" w:space="0" w:color="auto"/>
            </w:tcBorders>
            <w:shd w:val="clear" w:color="auto" w:fill="auto"/>
            <w:noWrap/>
            <w:vAlign w:val="bottom"/>
            <w:hideMark/>
          </w:tcPr>
          <w:p w14:paraId="757C46B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0,7%</w:t>
            </w:r>
          </w:p>
        </w:tc>
        <w:tc>
          <w:tcPr>
            <w:tcW w:w="987" w:type="dxa"/>
            <w:tcBorders>
              <w:top w:val="nil"/>
              <w:left w:val="nil"/>
              <w:bottom w:val="single" w:sz="4" w:space="0" w:color="auto"/>
              <w:right w:val="single" w:sz="4" w:space="0" w:color="auto"/>
            </w:tcBorders>
            <w:shd w:val="clear" w:color="auto" w:fill="auto"/>
            <w:noWrap/>
            <w:vAlign w:val="bottom"/>
            <w:hideMark/>
          </w:tcPr>
          <w:p w14:paraId="3BB25F2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0,9%</w:t>
            </w:r>
          </w:p>
        </w:tc>
        <w:tc>
          <w:tcPr>
            <w:tcW w:w="1269" w:type="dxa"/>
            <w:tcBorders>
              <w:top w:val="nil"/>
              <w:left w:val="nil"/>
              <w:bottom w:val="single" w:sz="4" w:space="0" w:color="auto"/>
              <w:right w:val="single" w:sz="4" w:space="0" w:color="auto"/>
            </w:tcBorders>
            <w:shd w:val="clear" w:color="auto" w:fill="auto"/>
            <w:noWrap/>
            <w:vAlign w:val="bottom"/>
            <w:hideMark/>
          </w:tcPr>
          <w:p w14:paraId="44F958A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3,0%</w:t>
            </w:r>
          </w:p>
        </w:tc>
        <w:tc>
          <w:tcPr>
            <w:tcW w:w="1269" w:type="dxa"/>
            <w:tcBorders>
              <w:top w:val="nil"/>
              <w:left w:val="nil"/>
              <w:bottom w:val="single" w:sz="4" w:space="0" w:color="auto"/>
              <w:right w:val="single" w:sz="4" w:space="0" w:color="auto"/>
            </w:tcBorders>
            <w:shd w:val="clear" w:color="auto" w:fill="auto"/>
            <w:noWrap/>
            <w:vAlign w:val="bottom"/>
            <w:hideMark/>
          </w:tcPr>
          <w:p w14:paraId="2CCBA1D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r>
      <w:tr w:rsidR="00A45E15" w:rsidRPr="00AF1F1F" w14:paraId="7ED46D94"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AFFF528"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lastRenderedPageBreak/>
              <w:t>Barrio Nuevo (Merlo)</w:t>
            </w:r>
          </w:p>
        </w:tc>
        <w:tc>
          <w:tcPr>
            <w:tcW w:w="1151" w:type="dxa"/>
            <w:tcBorders>
              <w:top w:val="nil"/>
              <w:left w:val="nil"/>
              <w:bottom w:val="single" w:sz="4" w:space="0" w:color="auto"/>
              <w:right w:val="single" w:sz="4" w:space="0" w:color="auto"/>
            </w:tcBorders>
            <w:shd w:val="clear" w:color="auto" w:fill="auto"/>
            <w:noWrap/>
            <w:vAlign w:val="bottom"/>
            <w:hideMark/>
          </w:tcPr>
          <w:p w14:paraId="586CD6F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4,0%</w:t>
            </w:r>
          </w:p>
        </w:tc>
        <w:tc>
          <w:tcPr>
            <w:tcW w:w="1457" w:type="dxa"/>
            <w:tcBorders>
              <w:top w:val="nil"/>
              <w:left w:val="nil"/>
              <w:bottom w:val="single" w:sz="4" w:space="0" w:color="auto"/>
              <w:right w:val="single" w:sz="4" w:space="0" w:color="auto"/>
            </w:tcBorders>
            <w:shd w:val="clear" w:color="auto" w:fill="auto"/>
            <w:noWrap/>
            <w:vAlign w:val="bottom"/>
            <w:hideMark/>
          </w:tcPr>
          <w:p w14:paraId="627FE75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13,1%</w:t>
            </w:r>
          </w:p>
        </w:tc>
        <w:tc>
          <w:tcPr>
            <w:tcW w:w="1269" w:type="dxa"/>
            <w:tcBorders>
              <w:top w:val="nil"/>
              <w:left w:val="nil"/>
              <w:bottom w:val="single" w:sz="4" w:space="0" w:color="auto"/>
              <w:right w:val="single" w:sz="4" w:space="0" w:color="auto"/>
            </w:tcBorders>
            <w:shd w:val="clear" w:color="auto" w:fill="auto"/>
            <w:noWrap/>
            <w:vAlign w:val="bottom"/>
            <w:hideMark/>
          </w:tcPr>
          <w:p w14:paraId="5FDA1EF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0,9%</w:t>
            </w:r>
          </w:p>
        </w:tc>
        <w:tc>
          <w:tcPr>
            <w:tcW w:w="987" w:type="dxa"/>
            <w:tcBorders>
              <w:top w:val="nil"/>
              <w:left w:val="nil"/>
              <w:bottom w:val="single" w:sz="4" w:space="0" w:color="auto"/>
              <w:right w:val="single" w:sz="4" w:space="0" w:color="auto"/>
            </w:tcBorders>
            <w:shd w:val="clear" w:color="auto" w:fill="auto"/>
            <w:noWrap/>
            <w:vAlign w:val="bottom"/>
            <w:hideMark/>
          </w:tcPr>
          <w:p w14:paraId="4DE2ABF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269" w:type="dxa"/>
            <w:tcBorders>
              <w:top w:val="nil"/>
              <w:left w:val="nil"/>
              <w:bottom w:val="single" w:sz="4" w:space="0" w:color="auto"/>
              <w:right w:val="single" w:sz="4" w:space="0" w:color="auto"/>
            </w:tcBorders>
            <w:shd w:val="clear" w:color="auto" w:fill="auto"/>
            <w:noWrap/>
            <w:vAlign w:val="bottom"/>
            <w:hideMark/>
          </w:tcPr>
          <w:p w14:paraId="0BEC127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269" w:type="dxa"/>
            <w:tcBorders>
              <w:top w:val="nil"/>
              <w:left w:val="nil"/>
              <w:bottom w:val="single" w:sz="4" w:space="0" w:color="auto"/>
              <w:right w:val="single" w:sz="4" w:space="0" w:color="auto"/>
            </w:tcBorders>
            <w:shd w:val="clear" w:color="auto" w:fill="auto"/>
            <w:noWrap/>
            <w:vAlign w:val="bottom"/>
            <w:hideMark/>
          </w:tcPr>
          <w:p w14:paraId="7A8C98F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r>
      <w:tr w:rsidR="00A45E15" w:rsidRPr="00AF1F1F" w14:paraId="0428058F"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367CB5BC"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Barrio Obrero (CABA)</w:t>
            </w:r>
          </w:p>
        </w:tc>
        <w:tc>
          <w:tcPr>
            <w:tcW w:w="1151" w:type="dxa"/>
            <w:tcBorders>
              <w:top w:val="nil"/>
              <w:left w:val="nil"/>
              <w:bottom w:val="single" w:sz="4" w:space="0" w:color="auto"/>
              <w:right w:val="single" w:sz="4" w:space="0" w:color="auto"/>
            </w:tcBorders>
            <w:shd w:val="clear" w:color="auto" w:fill="auto"/>
            <w:noWrap/>
            <w:vAlign w:val="bottom"/>
            <w:hideMark/>
          </w:tcPr>
          <w:p w14:paraId="6954C79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9,1%</w:t>
            </w:r>
          </w:p>
        </w:tc>
        <w:tc>
          <w:tcPr>
            <w:tcW w:w="1457" w:type="dxa"/>
            <w:tcBorders>
              <w:top w:val="nil"/>
              <w:left w:val="nil"/>
              <w:bottom w:val="single" w:sz="4" w:space="0" w:color="auto"/>
              <w:right w:val="single" w:sz="4" w:space="0" w:color="auto"/>
            </w:tcBorders>
            <w:shd w:val="clear" w:color="auto" w:fill="auto"/>
            <w:noWrap/>
            <w:vAlign w:val="bottom"/>
            <w:hideMark/>
          </w:tcPr>
          <w:p w14:paraId="74799A9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15,2%</w:t>
            </w:r>
          </w:p>
        </w:tc>
        <w:tc>
          <w:tcPr>
            <w:tcW w:w="1269" w:type="dxa"/>
            <w:tcBorders>
              <w:top w:val="nil"/>
              <w:left w:val="nil"/>
              <w:bottom w:val="single" w:sz="4" w:space="0" w:color="auto"/>
              <w:right w:val="single" w:sz="4" w:space="0" w:color="auto"/>
            </w:tcBorders>
            <w:shd w:val="clear" w:color="auto" w:fill="auto"/>
            <w:noWrap/>
            <w:vAlign w:val="bottom"/>
            <w:hideMark/>
          </w:tcPr>
          <w:p w14:paraId="782D39B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7A0B589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3,0%</w:t>
            </w:r>
          </w:p>
        </w:tc>
        <w:tc>
          <w:tcPr>
            <w:tcW w:w="1269" w:type="dxa"/>
            <w:tcBorders>
              <w:top w:val="nil"/>
              <w:left w:val="nil"/>
              <w:bottom w:val="single" w:sz="4" w:space="0" w:color="auto"/>
              <w:right w:val="single" w:sz="4" w:space="0" w:color="auto"/>
            </w:tcBorders>
            <w:shd w:val="clear" w:color="auto" w:fill="auto"/>
            <w:noWrap/>
            <w:vAlign w:val="bottom"/>
            <w:hideMark/>
          </w:tcPr>
          <w:p w14:paraId="2051E36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6,1%</w:t>
            </w:r>
          </w:p>
        </w:tc>
        <w:tc>
          <w:tcPr>
            <w:tcW w:w="1269" w:type="dxa"/>
            <w:tcBorders>
              <w:top w:val="nil"/>
              <w:left w:val="nil"/>
              <w:bottom w:val="single" w:sz="4" w:space="0" w:color="auto"/>
              <w:right w:val="single" w:sz="4" w:space="0" w:color="auto"/>
            </w:tcBorders>
            <w:shd w:val="clear" w:color="auto" w:fill="auto"/>
            <w:noWrap/>
            <w:vAlign w:val="bottom"/>
            <w:hideMark/>
          </w:tcPr>
          <w:p w14:paraId="008EDFB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9,1%</w:t>
            </w:r>
          </w:p>
        </w:tc>
      </w:tr>
      <w:tr w:rsidR="00A45E15" w:rsidRPr="00AF1F1F" w14:paraId="2FF7B883"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0E69EF48"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Bermejo (CABA)</w:t>
            </w:r>
          </w:p>
        </w:tc>
        <w:tc>
          <w:tcPr>
            <w:tcW w:w="1151" w:type="dxa"/>
            <w:tcBorders>
              <w:top w:val="nil"/>
              <w:left w:val="nil"/>
              <w:bottom w:val="single" w:sz="4" w:space="0" w:color="auto"/>
              <w:right w:val="single" w:sz="4" w:space="0" w:color="auto"/>
            </w:tcBorders>
            <w:shd w:val="clear" w:color="auto" w:fill="auto"/>
            <w:noWrap/>
            <w:vAlign w:val="bottom"/>
            <w:hideMark/>
          </w:tcPr>
          <w:p w14:paraId="110D623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6,8%</w:t>
            </w:r>
          </w:p>
        </w:tc>
        <w:tc>
          <w:tcPr>
            <w:tcW w:w="1457" w:type="dxa"/>
            <w:tcBorders>
              <w:top w:val="nil"/>
              <w:left w:val="nil"/>
              <w:bottom w:val="single" w:sz="4" w:space="0" w:color="auto"/>
              <w:right w:val="single" w:sz="4" w:space="0" w:color="auto"/>
            </w:tcBorders>
            <w:shd w:val="clear" w:color="auto" w:fill="auto"/>
            <w:noWrap/>
            <w:vAlign w:val="bottom"/>
            <w:hideMark/>
          </w:tcPr>
          <w:p w14:paraId="497D0C3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14,6%</w:t>
            </w:r>
          </w:p>
        </w:tc>
        <w:tc>
          <w:tcPr>
            <w:tcW w:w="1269" w:type="dxa"/>
            <w:tcBorders>
              <w:top w:val="nil"/>
              <w:left w:val="nil"/>
              <w:bottom w:val="single" w:sz="4" w:space="0" w:color="auto"/>
              <w:right w:val="single" w:sz="4" w:space="0" w:color="auto"/>
            </w:tcBorders>
            <w:shd w:val="clear" w:color="auto" w:fill="auto"/>
            <w:noWrap/>
            <w:vAlign w:val="bottom"/>
            <w:hideMark/>
          </w:tcPr>
          <w:p w14:paraId="5D4A3CC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987" w:type="dxa"/>
            <w:tcBorders>
              <w:top w:val="nil"/>
              <w:left w:val="nil"/>
              <w:bottom w:val="single" w:sz="4" w:space="0" w:color="auto"/>
              <w:right w:val="single" w:sz="4" w:space="0" w:color="auto"/>
            </w:tcBorders>
            <w:shd w:val="clear" w:color="auto" w:fill="auto"/>
            <w:noWrap/>
            <w:vAlign w:val="bottom"/>
            <w:hideMark/>
          </w:tcPr>
          <w:p w14:paraId="040B77F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4705088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7,8%</w:t>
            </w:r>
          </w:p>
        </w:tc>
        <w:tc>
          <w:tcPr>
            <w:tcW w:w="1269" w:type="dxa"/>
            <w:tcBorders>
              <w:top w:val="nil"/>
              <w:left w:val="nil"/>
              <w:bottom w:val="single" w:sz="4" w:space="0" w:color="auto"/>
              <w:right w:val="single" w:sz="4" w:space="0" w:color="auto"/>
            </w:tcBorders>
            <w:shd w:val="clear" w:color="auto" w:fill="auto"/>
            <w:noWrap/>
            <w:vAlign w:val="bottom"/>
            <w:hideMark/>
          </w:tcPr>
          <w:p w14:paraId="2724204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5,8%</w:t>
            </w:r>
          </w:p>
        </w:tc>
      </w:tr>
      <w:tr w:rsidR="00A45E15" w:rsidRPr="00AF1F1F" w14:paraId="2FB991B7"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D6E3635"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El Ombú (Cañuelas)</w:t>
            </w:r>
          </w:p>
        </w:tc>
        <w:tc>
          <w:tcPr>
            <w:tcW w:w="1151" w:type="dxa"/>
            <w:tcBorders>
              <w:top w:val="nil"/>
              <w:left w:val="nil"/>
              <w:bottom w:val="single" w:sz="4" w:space="0" w:color="auto"/>
              <w:right w:val="single" w:sz="4" w:space="0" w:color="auto"/>
            </w:tcBorders>
            <w:shd w:val="clear" w:color="auto" w:fill="auto"/>
            <w:noWrap/>
            <w:vAlign w:val="bottom"/>
            <w:hideMark/>
          </w:tcPr>
          <w:p w14:paraId="1822671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4,6%</w:t>
            </w:r>
          </w:p>
        </w:tc>
        <w:tc>
          <w:tcPr>
            <w:tcW w:w="1457" w:type="dxa"/>
            <w:tcBorders>
              <w:top w:val="nil"/>
              <w:left w:val="nil"/>
              <w:bottom w:val="single" w:sz="4" w:space="0" w:color="auto"/>
              <w:right w:val="single" w:sz="4" w:space="0" w:color="auto"/>
            </w:tcBorders>
            <w:shd w:val="clear" w:color="auto" w:fill="auto"/>
            <w:noWrap/>
            <w:vAlign w:val="bottom"/>
            <w:hideMark/>
          </w:tcPr>
          <w:p w14:paraId="7AD8F2E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13,1%</w:t>
            </w:r>
          </w:p>
        </w:tc>
        <w:tc>
          <w:tcPr>
            <w:tcW w:w="1269" w:type="dxa"/>
            <w:tcBorders>
              <w:top w:val="nil"/>
              <w:left w:val="nil"/>
              <w:bottom w:val="single" w:sz="4" w:space="0" w:color="auto"/>
              <w:right w:val="single" w:sz="4" w:space="0" w:color="auto"/>
            </w:tcBorders>
            <w:shd w:val="clear" w:color="auto" w:fill="auto"/>
            <w:noWrap/>
            <w:vAlign w:val="bottom"/>
            <w:hideMark/>
          </w:tcPr>
          <w:p w14:paraId="6FEA9DA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0,8%</w:t>
            </w:r>
          </w:p>
        </w:tc>
        <w:tc>
          <w:tcPr>
            <w:tcW w:w="987" w:type="dxa"/>
            <w:tcBorders>
              <w:top w:val="nil"/>
              <w:left w:val="nil"/>
              <w:bottom w:val="single" w:sz="4" w:space="0" w:color="auto"/>
              <w:right w:val="single" w:sz="4" w:space="0" w:color="auto"/>
            </w:tcBorders>
            <w:shd w:val="clear" w:color="auto" w:fill="auto"/>
            <w:noWrap/>
            <w:vAlign w:val="bottom"/>
            <w:hideMark/>
          </w:tcPr>
          <w:p w14:paraId="16AF93B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68C3CC2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6,9%</w:t>
            </w:r>
          </w:p>
        </w:tc>
        <w:tc>
          <w:tcPr>
            <w:tcW w:w="1269" w:type="dxa"/>
            <w:tcBorders>
              <w:top w:val="nil"/>
              <w:left w:val="nil"/>
              <w:bottom w:val="single" w:sz="4" w:space="0" w:color="auto"/>
              <w:right w:val="single" w:sz="4" w:space="0" w:color="auto"/>
            </w:tcBorders>
            <w:shd w:val="clear" w:color="auto" w:fill="auto"/>
            <w:noWrap/>
            <w:vAlign w:val="bottom"/>
            <w:hideMark/>
          </w:tcPr>
          <w:p w14:paraId="3A7B856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2,3%</w:t>
            </w:r>
          </w:p>
        </w:tc>
      </w:tr>
      <w:tr w:rsidR="00A45E15" w:rsidRPr="00AF1F1F" w14:paraId="19E665E4"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7D17F663"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El Parque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1B543D2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457" w:type="dxa"/>
            <w:tcBorders>
              <w:top w:val="nil"/>
              <w:left w:val="nil"/>
              <w:bottom w:val="single" w:sz="4" w:space="0" w:color="auto"/>
              <w:right w:val="single" w:sz="4" w:space="0" w:color="auto"/>
            </w:tcBorders>
            <w:shd w:val="clear" w:color="auto" w:fill="auto"/>
            <w:noWrap/>
            <w:vAlign w:val="bottom"/>
            <w:hideMark/>
          </w:tcPr>
          <w:p w14:paraId="09BB17D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9,0%</w:t>
            </w:r>
          </w:p>
        </w:tc>
        <w:tc>
          <w:tcPr>
            <w:tcW w:w="1269" w:type="dxa"/>
            <w:tcBorders>
              <w:top w:val="nil"/>
              <w:left w:val="nil"/>
              <w:bottom w:val="single" w:sz="4" w:space="0" w:color="auto"/>
              <w:right w:val="single" w:sz="4" w:space="0" w:color="auto"/>
            </w:tcBorders>
            <w:shd w:val="clear" w:color="auto" w:fill="auto"/>
            <w:noWrap/>
            <w:vAlign w:val="bottom"/>
            <w:hideMark/>
          </w:tcPr>
          <w:p w14:paraId="698EC46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2510DAA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269" w:type="dxa"/>
            <w:tcBorders>
              <w:top w:val="nil"/>
              <w:left w:val="nil"/>
              <w:bottom w:val="single" w:sz="4" w:space="0" w:color="auto"/>
              <w:right w:val="single" w:sz="4" w:space="0" w:color="auto"/>
            </w:tcBorders>
            <w:shd w:val="clear" w:color="auto" w:fill="auto"/>
            <w:noWrap/>
            <w:vAlign w:val="bottom"/>
            <w:hideMark/>
          </w:tcPr>
          <w:p w14:paraId="12A1774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269" w:type="dxa"/>
            <w:tcBorders>
              <w:top w:val="nil"/>
              <w:left w:val="nil"/>
              <w:bottom w:val="single" w:sz="4" w:space="0" w:color="auto"/>
              <w:right w:val="single" w:sz="4" w:space="0" w:color="auto"/>
            </w:tcBorders>
            <w:shd w:val="clear" w:color="auto" w:fill="auto"/>
            <w:noWrap/>
            <w:vAlign w:val="bottom"/>
            <w:hideMark/>
          </w:tcPr>
          <w:p w14:paraId="576A08F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r>
      <w:tr w:rsidR="00A45E15" w:rsidRPr="00AF1F1F" w14:paraId="453BE96B"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36DF88DC"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Galponeros (CABA)</w:t>
            </w:r>
          </w:p>
        </w:tc>
        <w:tc>
          <w:tcPr>
            <w:tcW w:w="1151" w:type="dxa"/>
            <w:tcBorders>
              <w:top w:val="nil"/>
              <w:left w:val="nil"/>
              <w:bottom w:val="single" w:sz="4" w:space="0" w:color="auto"/>
              <w:right w:val="single" w:sz="4" w:space="0" w:color="auto"/>
            </w:tcBorders>
            <w:shd w:val="clear" w:color="auto" w:fill="auto"/>
            <w:noWrap/>
            <w:vAlign w:val="bottom"/>
            <w:hideMark/>
          </w:tcPr>
          <w:p w14:paraId="3892402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3,3%</w:t>
            </w:r>
          </w:p>
        </w:tc>
        <w:tc>
          <w:tcPr>
            <w:tcW w:w="1457" w:type="dxa"/>
            <w:tcBorders>
              <w:top w:val="nil"/>
              <w:left w:val="nil"/>
              <w:bottom w:val="single" w:sz="4" w:space="0" w:color="auto"/>
              <w:right w:val="single" w:sz="4" w:space="0" w:color="auto"/>
            </w:tcBorders>
            <w:shd w:val="clear" w:color="auto" w:fill="auto"/>
            <w:noWrap/>
            <w:vAlign w:val="bottom"/>
            <w:hideMark/>
          </w:tcPr>
          <w:p w14:paraId="5DB3148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20,0%</w:t>
            </w:r>
          </w:p>
        </w:tc>
        <w:tc>
          <w:tcPr>
            <w:tcW w:w="1269" w:type="dxa"/>
            <w:tcBorders>
              <w:top w:val="nil"/>
              <w:left w:val="nil"/>
              <w:bottom w:val="single" w:sz="4" w:space="0" w:color="auto"/>
              <w:right w:val="single" w:sz="4" w:space="0" w:color="auto"/>
            </w:tcBorders>
            <w:shd w:val="clear" w:color="auto" w:fill="auto"/>
            <w:noWrap/>
            <w:vAlign w:val="bottom"/>
            <w:hideMark/>
          </w:tcPr>
          <w:p w14:paraId="3A2706B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063855A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3A3A6E4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269" w:type="dxa"/>
            <w:tcBorders>
              <w:top w:val="nil"/>
              <w:left w:val="nil"/>
              <w:bottom w:val="single" w:sz="4" w:space="0" w:color="auto"/>
              <w:right w:val="single" w:sz="4" w:space="0" w:color="auto"/>
            </w:tcBorders>
            <w:shd w:val="clear" w:color="auto" w:fill="auto"/>
            <w:noWrap/>
            <w:vAlign w:val="bottom"/>
            <w:hideMark/>
          </w:tcPr>
          <w:p w14:paraId="6EA4D99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r>
      <w:tr w:rsidR="00A45E15" w:rsidRPr="00AF1F1F" w14:paraId="4DE32341"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26768204"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Guemes</w:t>
            </w:r>
            <w:proofErr w:type="spellEnd"/>
            <w:r w:rsidRPr="00AF1F1F">
              <w:rPr>
                <w:rFonts w:eastAsia="Times New Roman" w:cs="Times New Roman"/>
                <w:color w:val="000000"/>
                <w:sz w:val="20"/>
                <w:szCs w:val="20"/>
              </w:rPr>
              <w:t xml:space="preserve"> (Ezeiza)</w:t>
            </w:r>
          </w:p>
        </w:tc>
        <w:tc>
          <w:tcPr>
            <w:tcW w:w="1151" w:type="dxa"/>
            <w:tcBorders>
              <w:top w:val="nil"/>
              <w:left w:val="nil"/>
              <w:bottom w:val="single" w:sz="4" w:space="0" w:color="auto"/>
              <w:right w:val="single" w:sz="4" w:space="0" w:color="auto"/>
            </w:tcBorders>
            <w:shd w:val="clear" w:color="auto" w:fill="auto"/>
            <w:noWrap/>
            <w:vAlign w:val="bottom"/>
            <w:hideMark/>
          </w:tcPr>
          <w:p w14:paraId="2B66AC9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4,7%</w:t>
            </w:r>
          </w:p>
        </w:tc>
        <w:tc>
          <w:tcPr>
            <w:tcW w:w="1457" w:type="dxa"/>
            <w:tcBorders>
              <w:top w:val="nil"/>
              <w:left w:val="nil"/>
              <w:bottom w:val="single" w:sz="4" w:space="0" w:color="auto"/>
              <w:right w:val="single" w:sz="4" w:space="0" w:color="auto"/>
            </w:tcBorders>
            <w:shd w:val="clear" w:color="auto" w:fill="auto"/>
            <w:noWrap/>
            <w:vAlign w:val="bottom"/>
            <w:hideMark/>
          </w:tcPr>
          <w:p w14:paraId="1CF9091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14,4%</w:t>
            </w:r>
          </w:p>
        </w:tc>
        <w:tc>
          <w:tcPr>
            <w:tcW w:w="1269" w:type="dxa"/>
            <w:tcBorders>
              <w:top w:val="nil"/>
              <w:left w:val="nil"/>
              <w:bottom w:val="single" w:sz="4" w:space="0" w:color="auto"/>
              <w:right w:val="single" w:sz="4" w:space="0" w:color="auto"/>
            </w:tcBorders>
            <w:shd w:val="clear" w:color="auto" w:fill="auto"/>
            <w:noWrap/>
            <w:vAlign w:val="bottom"/>
            <w:hideMark/>
          </w:tcPr>
          <w:p w14:paraId="18DE42B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2,2%</w:t>
            </w:r>
          </w:p>
        </w:tc>
        <w:tc>
          <w:tcPr>
            <w:tcW w:w="987" w:type="dxa"/>
            <w:tcBorders>
              <w:top w:val="nil"/>
              <w:left w:val="nil"/>
              <w:bottom w:val="single" w:sz="4" w:space="0" w:color="auto"/>
              <w:right w:val="single" w:sz="4" w:space="0" w:color="auto"/>
            </w:tcBorders>
            <w:shd w:val="clear" w:color="auto" w:fill="auto"/>
            <w:noWrap/>
            <w:vAlign w:val="bottom"/>
            <w:hideMark/>
          </w:tcPr>
          <w:p w14:paraId="21B3643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1,8%</w:t>
            </w:r>
          </w:p>
        </w:tc>
        <w:tc>
          <w:tcPr>
            <w:tcW w:w="1269" w:type="dxa"/>
            <w:tcBorders>
              <w:top w:val="nil"/>
              <w:left w:val="nil"/>
              <w:bottom w:val="single" w:sz="4" w:space="0" w:color="auto"/>
              <w:right w:val="single" w:sz="4" w:space="0" w:color="auto"/>
            </w:tcBorders>
            <w:shd w:val="clear" w:color="auto" w:fill="auto"/>
            <w:noWrap/>
            <w:vAlign w:val="bottom"/>
            <w:hideMark/>
          </w:tcPr>
          <w:p w14:paraId="7A19639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5,4%</w:t>
            </w:r>
          </w:p>
        </w:tc>
        <w:tc>
          <w:tcPr>
            <w:tcW w:w="1269" w:type="dxa"/>
            <w:tcBorders>
              <w:top w:val="nil"/>
              <w:left w:val="nil"/>
              <w:bottom w:val="single" w:sz="4" w:space="0" w:color="auto"/>
              <w:right w:val="single" w:sz="4" w:space="0" w:color="auto"/>
            </w:tcBorders>
            <w:shd w:val="clear" w:color="auto" w:fill="auto"/>
            <w:noWrap/>
            <w:vAlign w:val="bottom"/>
            <w:hideMark/>
          </w:tcPr>
          <w:p w14:paraId="3B0F1D4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5,4%</w:t>
            </w:r>
          </w:p>
        </w:tc>
      </w:tr>
      <w:tr w:rsidR="00A45E15" w:rsidRPr="00AF1F1F" w14:paraId="3E5B873A"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1DCC5520"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Isla Maciel (Avellaneda)</w:t>
            </w:r>
          </w:p>
        </w:tc>
        <w:tc>
          <w:tcPr>
            <w:tcW w:w="1151" w:type="dxa"/>
            <w:tcBorders>
              <w:top w:val="nil"/>
              <w:left w:val="nil"/>
              <w:bottom w:val="single" w:sz="4" w:space="0" w:color="auto"/>
              <w:right w:val="single" w:sz="4" w:space="0" w:color="auto"/>
            </w:tcBorders>
            <w:shd w:val="clear" w:color="auto" w:fill="auto"/>
            <w:noWrap/>
            <w:vAlign w:val="bottom"/>
            <w:hideMark/>
          </w:tcPr>
          <w:p w14:paraId="42EA5E4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457" w:type="dxa"/>
            <w:tcBorders>
              <w:top w:val="nil"/>
              <w:left w:val="nil"/>
              <w:bottom w:val="single" w:sz="4" w:space="0" w:color="auto"/>
              <w:right w:val="single" w:sz="4" w:space="0" w:color="auto"/>
            </w:tcBorders>
            <w:shd w:val="clear" w:color="auto" w:fill="auto"/>
            <w:noWrap/>
            <w:vAlign w:val="bottom"/>
            <w:hideMark/>
          </w:tcPr>
          <w:p w14:paraId="34309A3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12,4%</w:t>
            </w:r>
          </w:p>
        </w:tc>
        <w:tc>
          <w:tcPr>
            <w:tcW w:w="1269" w:type="dxa"/>
            <w:tcBorders>
              <w:top w:val="nil"/>
              <w:left w:val="nil"/>
              <w:bottom w:val="single" w:sz="4" w:space="0" w:color="auto"/>
              <w:right w:val="single" w:sz="4" w:space="0" w:color="auto"/>
            </w:tcBorders>
            <w:shd w:val="clear" w:color="auto" w:fill="auto"/>
            <w:noWrap/>
            <w:vAlign w:val="bottom"/>
            <w:hideMark/>
          </w:tcPr>
          <w:p w14:paraId="479945E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1,8%</w:t>
            </w:r>
          </w:p>
        </w:tc>
        <w:tc>
          <w:tcPr>
            <w:tcW w:w="987" w:type="dxa"/>
            <w:tcBorders>
              <w:top w:val="nil"/>
              <w:left w:val="nil"/>
              <w:bottom w:val="single" w:sz="4" w:space="0" w:color="auto"/>
              <w:right w:val="single" w:sz="4" w:space="0" w:color="auto"/>
            </w:tcBorders>
            <w:shd w:val="clear" w:color="auto" w:fill="auto"/>
            <w:noWrap/>
            <w:vAlign w:val="bottom"/>
            <w:hideMark/>
          </w:tcPr>
          <w:p w14:paraId="5E1BE73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269" w:type="dxa"/>
            <w:tcBorders>
              <w:top w:val="nil"/>
              <w:left w:val="nil"/>
              <w:bottom w:val="single" w:sz="4" w:space="0" w:color="auto"/>
              <w:right w:val="single" w:sz="4" w:space="0" w:color="auto"/>
            </w:tcBorders>
            <w:shd w:val="clear" w:color="auto" w:fill="auto"/>
            <w:noWrap/>
            <w:vAlign w:val="bottom"/>
            <w:hideMark/>
          </w:tcPr>
          <w:p w14:paraId="6F83091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6,9%</w:t>
            </w:r>
          </w:p>
        </w:tc>
        <w:tc>
          <w:tcPr>
            <w:tcW w:w="1269" w:type="dxa"/>
            <w:tcBorders>
              <w:top w:val="nil"/>
              <w:left w:val="nil"/>
              <w:bottom w:val="single" w:sz="4" w:space="0" w:color="auto"/>
              <w:right w:val="single" w:sz="4" w:space="0" w:color="auto"/>
            </w:tcBorders>
            <w:shd w:val="clear" w:color="auto" w:fill="auto"/>
            <w:noWrap/>
            <w:vAlign w:val="bottom"/>
            <w:hideMark/>
          </w:tcPr>
          <w:p w14:paraId="10FFBF5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6,0%</w:t>
            </w:r>
          </w:p>
        </w:tc>
      </w:tr>
      <w:tr w:rsidR="00A45E15" w:rsidRPr="00AF1F1F" w14:paraId="6F1555EE"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585F9F20"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Lonja (Lomas de Zamora)</w:t>
            </w:r>
          </w:p>
        </w:tc>
        <w:tc>
          <w:tcPr>
            <w:tcW w:w="1151" w:type="dxa"/>
            <w:tcBorders>
              <w:top w:val="nil"/>
              <w:left w:val="nil"/>
              <w:bottom w:val="single" w:sz="4" w:space="0" w:color="auto"/>
              <w:right w:val="single" w:sz="4" w:space="0" w:color="auto"/>
            </w:tcBorders>
            <w:shd w:val="clear" w:color="auto" w:fill="auto"/>
            <w:noWrap/>
            <w:vAlign w:val="bottom"/>
            <w:hideMark/>
          </w:tcPr>
          <w:p w14:paraId="67686D6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457" w:type="dxa"/>
            <w:tcBorders>
              <w:top w:val="nil"/>
              <w:left w:val="nil"/>
              <w:bottom w:val="single" w:sz="4" w:space="0" w:color="auto"/>
              <w:right w:val="single" w:sz="4" w:space="0" w:color="auto"/>
            </w:tcBorders>
            <w:shd w:val="clear" w:color="auto" w:fill="auto"/>
            <w:noWrap/>
            <w:vAlign w:val="bottom"/>
            <w:hideMark/>
          </w:tcPr>
          <w:p w14:paraId="2C3A265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12,6%</w:t>
            </w:r>
          </w:p>
        </w:tc>
        <w:tc>
          <w:tcPr>
            <w:tcW w:w="1269" w:type="dxa"/>
            <w:tcBorders>
              <w:top w:val="nil"/>
              <w:left w:val="nil"/>
              <w:bottom w:val="single" w:sz="4" w:space="0" w:color="auto"/>
              <w:right w:val="single" w:sz="4" w:space="0" w:color="auto"/>
            </w:tcBorders>
            <w:shd w:val="clear" w:color="auto" w:fill="auto"/>
            <w:noWrap/>
            <w:vAlign w:val="bottom"/>
            <w:hideMark/>
          </w:tcPr>
          <w:p w14:paraId="4DDEBA1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987" w:type="dxa"/>
            <w:tcBorders>
              <w:top w:val="nil"/>
              <w:left w:val="nil"/>
              <w:bottom w:val="single" w:sz="4" w:space="0" w:color="auto"/>
              <w:right w:val="single" w:sz="4" w:space="0" w:color="auto"/>
            </w:tcBorders>
            <w:shd w:val="clear" w:color="auto" w:fill="auto"/>
            <w:noWrap/>
            <w:vAlign w:val="bottom"/>
            <w:hideMark/>
          </w:tcPr>
          <w:p w14:paraId="7495EB4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269" w:type="dxa"/>
            <w:tcBorders>
              <w:top w:val="nil"/>
              <w:left w:val="nil"/>
              <w:bottom w:val="single" w:sz="4" w:space="0" w:color="auto"/>
              <w:right w:val="single" w:sz="4" w:space="0" w:color="auto"/>
            </w:tcBorders>
            <w:shd w:val="clear" w:color="auto" w:fill="auto"/>
            <w:noWrap/>
            <w:vAlign w:val="bottom"/>
            <w:hideMark/>
          </w:tcPr>
          <w:p w14:paraId="3670FF3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1269" w:type="dxa"/>
            <w:tcBorders>
              <w:top w:val="nil"/>
              <w:left w:val="nil"/>
              <w:bottom w:val="single" w:sz="4" w:space="0" w:color="auto"/>
              <w:right w:val="single" w:sz="4" w:space="0" w:color="auto"/>
            </w:tcBorders>
            <w:shd w:val="clear" w:color="auto" w:fill="auto"/>
            <w:noWrap/>
            <w:vAlign w:val="bottom"/>
            <w:hideMark/>
          </w:tcPr>
          <w:p w14:paraId="27FB4F1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4,9%</w:t>
            </w:r>
          </w:p>
        </w:tc>
      </w:tr>
      <w:tr w:rsidR="00A45E15" w:rsidRPr="00AF1F1F" w14:paraId="1FE969BB"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208E76FC"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Porteña II (Ezeiza)</w:t>
            </w:r>
          </w:p>
        </w:tc>
        <w:tc>
          <w:tcPr>
            <w:tcW w:w="1151" w:type="dxa"/>
            <w:tcBorders>
              <w:top w:val="nil"/>
              <w:left w:val="nil"/>
              <w:bottom w:val="single" w:sz="4" w:space="0" w:color="auto"/>
              <w:right w:val="single" w:sz="4" w:space="0" w:color="auto"/>
            </w:tcBorders>
            <w:shd w:val="clear" w:color="auto" w:fill="auto"/>
            <w:noWrap/>
            <w:vAlign w:val="bottom"/>
            <w:hideMark/>
          </w:tcPr>
          <w:p w14:paraId="14776E3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457" w:type="dxa"/>
            <w:tcBorders>
              <w:top w:val="nil"/>
              <w:left w:val="nil"/>
              <w:bottom w:val="single" w:sz="4" w:space="0" w:color="auto"/>
              <w:right w:val="single" w:sz="4" w:space="0" w:color="auto"/>
            </w:tcBorders>
            <w:shd w:val="clear" w:color="auto" w:fill="auto"/>
            <w:noWrap/>
            <w:vAlign w:val="bottom"/>
            <w:hideMark/>
          </w:tcPr>
          <w:p w14:paraId="44CB6D6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15,3%</w:t>
            </w:r>
          </w:p>
        </w:tc>
        <w:tc>
          <w:tcPr>
            <w:tcW w:w="1269" w:type="dxa"/>
            <w:tcBorders>
              <w:top w:val="nil"/>
              <w:left w:val="nil"/>
              <w:bottom w:val="single" w:sz="4" w:space="0" w:color="auto"/>
              <w:right w:val="single" w:sz="4" w:space="0" w:color="auto"/>
            </w:tcBorders>
            <w:shd w:val="clear" w:color="auto" w:fill="auto"/>
            <w:noWrap/>
            <w:vAlign w:val="bottom"/>
            <w:hideMark/>
          </w:tcPr>
          <w:p w14:paraId="4B30B7D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987" w:type="dxa"/>
            <w:tcBorders>
              <w:top w:val="nil"/>
              <w:left w:val="nil"/>
              <w:bottom w:val="single" w:sz="4" w:space="0" w:color="auto"/>
              <w:right w:val="single" w:sz="4" w:space="0" w:color="auto"/>
            </w:tcBorders>
            <w:shd w:val="clear" w:color="auto" w:fill="auto"/>
            <w:noWrap/>
            <w:vAlign w:val="bottom"/>
            <w:hideMark/>
          </w:tcPr>
          <w:p w14:paraId="2709D8D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c>
          <w:tcPr>
            <w:tcW w:w="1269" w:type="dxa"/>
            <w:tcBorders>
              <w:top w:val="nil"/>
              <w:left w:val="nil"/>
              <w:bottom w:val="single" w:sz="4" w:space="0" w:color="auto"/>
              <w:right w:val="single" w:sz="4" w:space="0" w:color="auto"/>
            </w:tcBorders>
            <w:shd w:val="clear" w:color="auto" w:fill="auto"/>
            <w:noWrap/>
            <w:vAlign w:val="bottom"/>
            <w:hideMark/>
          </w:tcPr>
          <w:p w14:paraId="3FD0CE9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6,5%</w:t>
            </w:r>
          </w:p>
        </w:tc>
        <w:tc>
          <w:tcPr>
            <w:tcW w:w="1269" w:type="dxa"/>
            <w:tcBorders>
              <w:top w:val="nil"/>
              <w:left w:val="nil"/>
              <w:bottom w:val="single" w:sz="4" w:space="0" w:color="auto"/>
              <w:right w:val="single" w:sz="4" w:space="0" w:color="auto"/>
            </w:tcBorders>
            <w:shd w:val="clear" w:color="auto" w:fill="auto"/>
            <w:noWrap/>
            <w:vAlign w:val="bottom"/>
            <w:hideMark/>
          </w:tcPr>
          <w:p w14:paraId="4891E42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5,6%</w:t>
            </w:r>
          </w:p>
        </w:tc>
      </w:tr>
      <w:tr w:rsidR="00A45E15" w:rsidRPr="00AF1F1F" w14:paraId="25870EDF"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5889F70F"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Toma (Merlo)</w:t>
            </w:r>
          </w:p>
        </w:tc>
        <w:tc>
          <w:tcPr>
            <w:tcW w:w="1151" w:type="dxa"/>
            <w:tcBorders>
              <w:top w:val="nil"/>
              <w:left w:val="nil"/>
              <w:bottom w:val="single" w:sz="4" w:space="0" w:color="auto"/>
              <w:right w:val="single" w:sz="4" w:space="0" w:color="auto"/>
            </w:tcBorders>
            <w:shd w:val="clear" w:color="auto" w:fill="auto"/>
            <w:noWrap/>
            <w:vAlign w:val="bottom"/>
            <w:hideMark/>
          </w:tcPr>
          <w:p w14:paraId="3FD7E94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457" w:type="dxa"/>
            <w:tcBorders>
              <w:top w:val="nil"/>
              <w:left w:val="nil"/>
              <w:bottom w:val="single" w:sz="4" w:space="0" w:color="auto"/>
              <w:right w:val="single" w:sz="4" w:space="0" w:color="auto"/>
            </w:tcBorders>
            <w:shd w:val="clear" w:color="auto" w:fill="auto"/>
            <w:noWrap/>
            <w:vAlign w:val="bottom"/>
            <w:hideMark/>
          </w:tcPr>
          <w:p w14:paraId="591CC85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9,2%</w:t>
            </w:r>
          </w:p>
        </w:tc>
        <w:tc>
          <w:tcPr>
            <w:tcW w:w="1269" w:type="dxa"/>
            <w:tcBorders>
              <w:top w:val="nil"/>
              <w:left w:val="nil"/>
              <w:bottom w:val="single" w:sz="4" w:space="0" w:color="auto"/>
              <w:right w:val="single" w:sz="4" w:space="0" w:color="auto"/>
            </w:tcBorders>
            <w:shd w:val="clear" w:color="auto" w:fill="auto"/>
            <w:noWrap/>
            <w:vAlign w:val="bottom"/>
            <w:hideMark/>
          </w:tcPr>
          <w:p w14:paraId="403EAE5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w:t>
            </w:r>
          </w:p>
        </w:tc>
        <w:tc>
          <w:tcPr>
            <w:tcW w:w="987" w:type="dxa"/>
            <w:tcBorders>
              <w:top w:val="nil"/>
              <w:left w:val="nil"/>
              <w:bottom w:val="single" w:sz="4" w:space="0" w:color="auto"/>
              <w:right w:val="single" w:sz="4" w:space="0" w:color="auto"/>
            </w:tcBorders>
            <w:shd w:val="clear" w:color="auto" w:fill="auto"/>
            <w:noWrap/>
            <w:vAlign w:val="bottom"/>
            <w:hideMark/>
          </w:tcPr>
          <w:p w14:paraId="3FB3E9D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269" w:type="dxa"/>
            <w:tcBorders>
              <w:top w:val="nil"/>
              <w:left w:val="nil"/>
              <w:bottom w:val="single" w:sz="4" w:space="0" w:color="auto"/>
              <w:right w:val="single" w:sz="4" w:space="0" w:color="auto"/>
            </w:tcBorders>
            <w:shd w:val="clear" w:color="auto" w:fill="auto"/>
            <w:noWrap/>
            <w:vAlign w:val="bottom"/>
            <w:hideMark/>
          </w:tcPr>
          <w:p w14:paraId="741DF46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269" w:type="dxa"/>
            <w:tcBorders>
              <w:top w:val="nil"/>
              <w:left w:val="nil"/>
              <w:bottom w:val="single" w:sz="4" w:space="0" w:color="auto"/>
              <w:right w:val="single" w:sz="4" w:space="0" w:color="auto"/>
            </w:tcBorders>
            <w:shd w:val="clear" w:color="auto" w:fill="auto"/>
            <w:noWrap/>
            <w:vAlign w:val="bottom"/>
            <w:hideMark/>
          </w:tcPr>
          <w:p w14:paraId="3C37035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r>
      <w:tr w:rsidR="00A45E15" w:rsidRPr="00AF1F1F" w14:paraId="6E9E219D"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9524FB0"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Unión II (Cañuelas)</w:t>
            </w:r>
          </w:p>
        </w:tc>
        <w:tc>
          <w:tcPr>
            <w:tcW w:w="1151" w:type="dxa"/>
            <w:tcBorders>
              <w:top w:val="nil"/>
              <w:left w:val="nil"/>
              <w:bottom w:val="single" w:sz="4" w:space="0" w:color="auto"/>
              <w:right w:val="single" w:sz="4" w:space="0" w:color="auto"/>
            </w:tcBorders>
            <w:shd w:val="clear" w:color="auto" w:fill="auto"/>
            <w:noWrap/>
            <w:vAlign w:val="bottom"/>
            <w:hideMark/>
          </w:tcPr>
          <w:p w14:paraId="75C7E22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3,0%</w:t>
            </w:r>
          </w:p>
        </w:tc>
        <w:tc>
          <w:tcPr>
            <w:tcW w:w="1457" w:type="dxa"/>
            <w:tcBorders>
              <w:top w:val="nil"/>
              <w:left w:val="nil"/>
              <w:bottom w:val="single" w:sz="4" w:space="0" w:color="auto"/>
              <w:right w:val="single" w:sz="4" w:space="0" w:color="auto"/>
            </w:tcBorders>
            <w:shd w:val="clear" w:color="auto" w:fill="auto"/>
            <w:noWrap/>
            <w:vAlign w:val="bottom"/>
            <w:hideMark/>
          </w:tcPr>
          <w:p w14:paraId="103B325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11,2%</w:t>
            </w:r>
          </w:p>
        </w:tc>
        <w:tc>
          <w:tcPr>
            <w:tcW w:w="1269" w:type="dxa"/>
            <w:tcBorders>
              <w:top w:val="nil"/>
              <w:left w:val="nil"/>
              <w:bottom w:val="single" w:sz="4" w:space="0" w:color="auto"/>
              <w:right w:val="single" w:sz="4" w:space="0" w:color="auto"/>
            </w:tcBorders>
            <w:shd w:val="clear" w:color="auto" w:fill="auto"/>
            <w:noWrap/>
            <w:vAlign w:val="bottom"/>
            <w:hideMark/>
          </w:tcPr>
          <w:p w14:paraId="4A06A3A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7BC0D6B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1,8%</w:t>
            </w:r>
          </w:p>
        </w:tc>
        <w:tc>
          <w:tcPr>
            <w:tcW w:w="1269" w:type="dxa"/>
            <w:tcBorders>
              <w:top w:val="nil"/>
              <w:left w:val="nil"/>
              <w:bottom w:val="single" w:sz="4" w:space="0" w:color="auto"/>
              <w:right w:val="single" w:sz="4" w:space="0" w:color="auto"/>
            </w:tcBorders>
            <w:shd w:val="clear" w:color="auto" w:fill="auto"/>
            <w:noWrap/>
            <w:vAlign w:val="bottom"/>
            <w:hideMark/>
          </w:tcPr>
          <w:p w14:paraId="2FF937C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4,1%</w:t>
            </w:r>
          </w:p>
        </w:tc>
        <w:tc>
          <w:tcPr>
            <w:tcW w:w="1269" w:type="dxa"/>
            <w:tcBorders>
              <w:top w:val="nil"/>
              <w:left w:val="nil"/>
              <w:bottom w:val="single" w:sz="4" w:space="0" w:color="auto"/>
              <w:right w:val="single" w:sz="4" w:space="0" w:color="auto"/>
            </w:tcBorders>
            <w:shd w:val="clear" w:color="auto" w:fill="auto"/>
            <w:noWrap/>
            <w:vAlign w:val="bottom"/>
            <w:hideMark/>
          </w:tcPr>
          <w:p w14:paraId="06DD309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r>
      <w:tr w:rsidR="00A45E15" w:rsidRPr="00AF1F1F" w14:paraId="2056487C"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37C818A"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Laguna Brava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1A826E9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457" w:type="dxa"/>
            <w:tcBorders>
              <w:top w:val="nil"/>
              <w:left w:val="nil"/>
              <w:bottom w:val="single" w:sz="4" w:space="0" w:color="auto"/>
              <w:right w:val="single" w:sz="4" w:space="0" w:color="auto"/>
            </w:tcBorders>
            <w:shd w:val="clear" w:color="auto" w:fill="auto"/>
            <w:noWrap/>
            <w:vAlign w:val="bottom"/>
            <w:hideMark/>
          </w:tcPr>
          <w:p w14:paraId="18D8659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269" w:type="dxa"/>
            <w:tcBorders>
              <w:top w:val="nil"/>
              <w:left w:val="nil"/>
              <w:bottom w:val="single" w:sz="4" w:space="0" w:color="auto"/>
              <w:right w:val="single" w:sz="4" w:space="0" w:color="auto"/>
            </w:tcBorders>
            <w:shd w:val="clear" w:color="auto" w:fill="auto"/>
            <w:noWrap/>
            <w:vAlign w:val="bottom"/>
            <w:hideMark/>
          </w:tcPr>
          <w:p w14:paraId="40BD9B6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44FED66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7F749C3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269" w:type="dxa"/>
            <w:tcBorders>
              <w:top w:val="nil"/>
              <w:left w:val="nil"/>
              <w:bottom w:val="single" w:sz="4" w:space="0" w:color="auto"/>
              <w:right w:val="single" w:sz="4" w:space="0" w:color="auto"/>
            </w:tcBorders>
            <w:shd w:val="clear" w:color="auto" w:fill="auto"/>
            <w:noWrap/>
            <w:vAlign w:val="bottom"/>
            <w:hideMark/>
          </w:tcPr>
          <w:p w14:paraId="3799BF8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r>
      <w:tr w:rsidR="00A45E15" w:rsidRPr="00AF1F1F" w14:paraId="1D37E326"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292782BB"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Las Flores (Merlo)</w:t>
            </w:r>
          </w:p>
        </w:tc>
        <w:tc>
          <w:tcPr>
            <w:tcW w:w="1151" w:type="dxa"/>
            <w:tcBorders>
              <w:top w:val="nil"/>
              <w:left w:val="nil"/>
              <w:bottom w:val="single" w:sz="4" w:space="0" w:color="auto"/>
              <w:right w:val="single" w:sz="4" w:space="0" w:color="auto"/>
            </w:tcBorders>
            <w:shd w:val="clear" w:color="auto" w:fill="auto"/>
            <w:noWrap/>
            <w:vAlign w:val="bottom"/>
            <w:hideMark/>
          </w:tcPr>
          <w:p w14:paraId="6BCF16E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457" w:type="dxa"/>
            <w:tcBorders>
              <w:top w:val="nil"/>
              <w:left w:val="nil"/>
              <w:bottom w:val="single" w:sz="4" w:space="0" w:color="auto"/>
              <w:right w:val="single" w:sz="4" w:space="0" w:color="auto"/>
            </w:tcBorders>
            <w:shd w:val="clear" w:color="auto" w:fill="auto"/>
            <w:noWrap/>
            <w:vAlign w:val="bottom"/>
            <w:hideMark/>
          </w:tcPr>
          <w:p w14:paraId="02AF578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12,6%</w:t>
            </w:r>
          </w:p>
        </w:tc>
        <w:tc>
          <w:tcPr>
            <w:tcW w:w="1269" w:type="dxa"/>
            <w:tcBorders>
              <w:top w:val="nil"/>
              <w:left w:val="nil"/>
              <w:bottom w:val="single" w:sz="4" w:space="0" w:color="auto"/>
              <w:right w:val="single" w:sz="4" w:space="0" w:color="auto"/>
            </w:tcBorders>
            <w:shd w:val="clear" w:color="auto" w:fill="auto"/>
            <w:noWrap/>
            <w:vAlign w:val="bottom"/>
            <w:hideMark/>
          </w:tcPr>
          <w:p w14:paraId="1BBD3F7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w:t>
            </w:r>
          </w:p>
        </w:tc>
        <w:tc>
          <w:tcPr>
            <w:tcW w:w="987" w:type="dxa"/>
            <w:tcBorders>
              <w:top w:val="nil"/>
              <w:left w:val="nil"/>
              <w:bottom w:val="single" w:sz="4" w:space="0" w:color="auto"/>
              <w:right w:val="single" w:sz="4" w:space="0" w:color="auto"/>
            </w:tcBorders>
            <w:shd w:val="clear" w:color="auto" w:fill="auto"/>
            <w:noWrap/>
            <w:vAlign w:val="bottom"/>
            <w:hideMark/>
          </w:tcPr>
          <w:p w14:paraId="463984C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269" w:type="dxa"/>
            <w:tcBorders>
              <w:top w:val="nil"/>
              <w:left w:val="nil"/>
              <w:bottom w:val="single" w:sz="4" w:space="0" w:color="auto"/>
              <w:right w:val="single" w:sz="4" w:space="0" w:color="auto"/>
            </w:tcBorders>
            <w:shd w:val="clear" w:color="auto" w:fill="auto"/>
            <w:noWrap/>
            <w:vAlign w:val="bottom"/>
            <w:hideMark/>
          </w:tcPr>
          <w:p w14:paraId="27A7225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269" w:type="dxa"/>
            <w:tcBorders>
              <w:top w:val="nil"/>
              <w:left w:val="nil"/>
              <w:bottom w:val="single" w:sz="4" w:space="0" w:color="auto"/>
              <w:right w:val="single" w:sz="4" w:space="0" w:color="auto"/>
            </w:tcBorders>
            <w:shd w:val="clear" w:color="auto" w:fill="auto"/>
            <w:noWrap/>
            <w:vAlign w:val="bottom"/>
            <w:hideMark/>
          </w:tcPr>
          <w:p w14:paraId="51DCC32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4,0%</w:t>
            </w:r>
          </w:p>
        </w:tc>
      </w:tr>
      <w:tr w:rsidR="00A45E15" w:rsidRPr="00AF1F1F" w14:paraId="05CF7D79"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0411E7D3"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Las Torres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3DF733E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5,4%</w:t>
            </w:r>
          </w:p>
        </w:tc>
        <w:tc>
          <w:tcPr>
            <w:tcW w:w="1457" w:type="dxa"/>
            <w:tcBorders>
              <w:top w:val="nil"/>
              <w:left w:val="nil"/>
              <w:bottom w:val="single" w:sz="4" w:space="0" w:color="auto"/>
              <w:right w:val="single" w:sz="4" w:space="0" w:color="auto"/>
            </w:tcBorders>
            <w:shd w:val="clear" w:color="auto" w:fill="auto"/>
            <w:noWrap/>
            <w:vAlign w:val="bottom"/>
            <w:hideMark/>
          </w:tcPr>
          <w:p w14:paraId="4F8F5C9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17,1%</w:t>
            </w:r>
          </w:p>
        </w:tc>
        <w:tc>
          <w:tcPr>
            <w:tcW w:w="1269" w:type="dxa"/>
            <w:tcBorders>
              <w:top w:val="nil"/>
              <w:left w:val="nil"/>
              <w:bottom w:val="single" w:sz="4" w:space="0" w:color="auto"/>
              <w:right w:val="single" w:sz="4" w:space="0" w:color="auto"/>
            </w:tcBorders>
            <w:shd w:val="clear" w:color="auto" w:fill="auto"/>
            <w:noWrap/>
            <w:vAlign w:val="bottom"/>
            <w:hideMark/>
          </w:tcPr>
          <w:p w14:paraId="49DF083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987" w:type="dxa"/>
            <w:tcBorders>
              <w:top w:val="nil"/>
              <w:left w:val="nil"/>
              <w:bottom w:val="single" w:sz="4" w:space="0" w:color="auto"/>
              <w:right w:val="single" w:sz="4" w:space="0" w:color="auto"/>
            </w:tcBorders>
            <w:shd w:val="clear" w:color="auto" w:fill="auto"/>
            <w:noWrap/>
            <w:vAlign w:val="bottom"/>
            <w:hideMark/>
          </w:tcPr>
          <w:p w14:paraId="0C4BAC4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1269" w:type="dxa"/>
            <w:tcBorders>
              <w:top w:val="nil"/>
              <w:left w:val="nil"/>
              <w:bottom w:val="single" w:sz="4" w:space="0" w:color="auto"/>
              <w:right w:val="single" w:sz="4" w:space="0" w:color="auto"/>
            </w:tcBorders>
            <w:shd w:val="clear" w:color="auto" w:fill="auto"/>
            <w:noWrap/>
            <w:vAlign w:val="bottom"/>
            <w:hideMark/>
          </w:tcPr>
          <w:p w14:paraId="4E1E034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9,5%</w:t>
            </w:r>
          </w:p>
        </w:tc>
        <w:tc>
          <w:tcPr>
            <w:tcW w:w="1269" w:type="dxa"/>
            <w:tcBorders>
              <w:top w:val="nil"/>
              <w:left w:val="nil"/>
              <w:bottom w:val="single" w:sz="4" w:space="0" w:color="auto"/>
              <w:right w:val="single" w:sz="4" w:space="0" w:color="auto"/>
            </w:tcBorders>
            <w:shd w:val="clear" w:color="auto" w:fill="auto"/>
            <w:noWrap/>
            <w:vAlign w:val="bottom"/>
            <w:hideMark/>
          </w:tcPr>
          <w:p w14:paraId="706FA31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5,0%</w:t>
            </w:r>
          </w:p>
        </w:tc>
      </w:tr>
      <w:tr w:rsidR="00A45E15" w:rsidRPr="00AF1F1F" w14:paraId="59DB14A4"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040D4ABA"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Libertad (Cañuelas)</w:t>
            </w:r>
          </w:p>
        </w:tc>
        <w:tc>
          <w:tcPr>
            <w:tcW w:w="1151" w:type="dxa"/>
            <w:tcBorders>
              <w:top w:val="nil"/>
              <w:left w:val="nil"/>
              <w:bottom w:val="single" w:sz="4" w:space="0" w:color="auto"/>
              <w:right w:val="single" w:sz="4" w:space="0" w:color="auto"/>
            </w:tcBorders>
            <w:shd w:val="clear" w:color="auto" w:fill="auto"/>
            <w:noWrap/>
            <w:vAlign w:val="bottom"/>
            <w:hideMark/>
          </w:tcPr>
          <w:p w14:paraId="0CF864C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457" w:type="dxa"/>
            <w:tcBorders>
              <w:top w:val="nil"/>
              <w:left w:val="nil"/>
              <w:bottom w:val="single" w:sz="4" w:space="0" w:color="auto"/>
              <w:right w:val="single" w:sz="4" w:space="0" w:color="auto"/>
            </w:tcBorders>
            <w:shd w:val="clear" w:color="auto" w:fill="auto"/>
            <w:noWrap/>
            <w:vAlign w:val="bottom"/>
            <w:hideMark/>
          </w:tcPr>
          <w:p w14:paraId="303F5B1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9,4%</w:t>
            </w:r>
          </w:p>
        </w:tc>
        <w:tc>
          <w:tcPr>
            <w:tcW w:w="1269" w:type="dxa"/>
            <w:tcBorders>
              <w:top w:val="nil"/>
              <w:left w:val="nil"/>
              <w:bottom w:val="single" w:sz="4" w:space="0" w:color="auto"/>
              <w:right w:val="single" w:sz="4" w:space="0" w:color="auto"/>
            </w:tcBorders>
            <w:shd w:val="clear" w:color="auto" w:fill="auto"/>
            <w:noWrap/>
            <w:vAlign w:val="bottom"/>
            <w:hideMark/>
          </w:tcPr>
          <w:p w14:paraId="09968D0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0,8%</w:t>
            </w:r>
          </w:p>
        </w:tc>
        <w:tc>
          <w:tcPr>
            <w:tcW w:w="987" w:type="dxa"/>
            <w:tcBorders>
              <w:top w:val="nil"/>
              <w:left w:val="nil"/>
              <w:bottom w:val="single" w:sz="4" w:space="0" w:color="auto"/>
              <w:right w:val="single" w:sz="4" w:space="0" w:color="auto"/>
            </w:tcBorders>
            <w:shd w:val="clear" w:color="auto" w:fill="auto"/>
            <w:noWrap/>
            <w:vAlign w:val="bottom"/>
            <w:hideMark/>
          </w:tcPr>
          <w:p w14:paraId="6FACE8D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269" w:type="dxa"/>
            <w:tcBorders>
              <w:top w:val="nil"/>
              <w:left w:val="nil"/>
              <w:bottom w:val="single" w:sz="4" w:space="0" w:color="auto"/>
              <w:right w:val="single" w:sz="4" w:space="0" w:color="auto"/>
            </w:tcBorders>
            <w:shd w:val="clear" w:color="auto" w:fill="auto"/>
            <w:noWrap/>
            <w:vAlign w:val="bottom"/>
            <w:hideMark/>
          </w:tcPr>
          <w:p w14:paraId="576D226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269" w:type="dxa"/>
            <w:tcBorders>
              <w:top w:val="nil"/>
              <w:left w:val="nil"/>
              <w:bottom w:val="single" w:sz="4" w:space="0" w:color="auto"/>
              <w:right w:val="single" w:sz="4" w:space="0" w:color="auto"/>
            </w:tcBorders>
            <w:shd w:val="clear" w:color="auto" w:fill="auto"/>
            <w:noWrap/>
            <w:vAlign w:val="bottom"/>
            <w:hideMark/>
          </w:tcPr>
          <w:p w14:paraId="10CE6A9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r>
      <w:tr w:rsidR="00A45E15" w:rsidRPr="00AF1F1F" w14:paraId="28EB4663"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4B3BADC"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 xml:space="preserve">Los </w:t>
            </w:r>
            <w:proofErr w:type="spellStart"/>
            <w:r w:rsidRPr="00AF1F1F">
              <w:rPr>
                <w:rFonts w:eastAsia="Times New Roman" w:cs="Times New Roman"/>
                <w:color w:val="000000"/>
                <w:sz w:val="20"/>
                <w:szCs w:val="20"/>
              </w:rPr>
              <w:t>Piletones</w:t>
            </w:r>
            <w:proofErr w:type="spellEnd"/>
            <w:r w:rsidRPr="00AF1F1F">
              <w:rPr>
                <w:rFonts w:eastAsia="Times New Roman" w:cs="Times New Roman"/>
                <w:color w:val="000000"/>
                <w:sz w:val="20"/>
                <w:szCs w:val="20"/>
              </w:rPr>
              <w:t xml:space="preserve">  (CABA)</w:t>
            </w:r>
          </w:p>
        </w:tc>
        <w:tc>
          <w:tcPr>
            <w:tcW w:w="1151" w:type="dxa"/>
            <w:tcBorders>
              <w:top w:val="nil"/>
              <w:left w:val="nil"/>
              <w:bottom w:val="single" w:sz="4" w:space="0" w:color="auto"/>
              <w:right w:val="single" w:sz="4" w:space="0" w:color="auto"/>
            </w:tcBorders>
            <w:shd w:val="clear" w:color="auto" w:fill="auto"/>
            <w:noWrap/>
            <w:vAlign w:val="bottom"/>
            <w:hideMark/>
          </w:tcPr>
          <w:p w14:paraId="3E14574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4,4%</w:t>
            </w:r>
          </w:p>
        </w:tc>
        <w:tc>
          <w:tcPr>
            <w:tcW w:w="1457" w:type="dxa"/>
            <w:tcBorders>
              <w:top w:val="nil"/>
              <w:left w:val="nil"/>
              <w:bottom w:val="single" w:sz="4" w:space="0" w:color="auto"/>
              <w:right w:val="single" w:sz="4" w:space="0" w:color="auto"/>
            </w:tcBorders>
            <w:shd w:val="clear" w:color="auto" w:fill="auto"/>
            <w:noWrap/>
            <w:vAlign w:val="bottom"/>
            <w:hideMark/>
          </w:tcPr>
          <w:p w14:paraId="2D63F71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13,1%</w:t>
            </w:r>
          </w:p>
        </w:tc>
        <w:tc>
          <w:tcPr>
            <w:tcW w:w="1269" w:type="dxa"/>
            <w:tcBorders>
              <w:top w:val="nil"/>
              <w:left w:val="nil"/>
              <w:bottom w:val="single" w:sz="4" w:space="0" w:color="auto"/>
              <w:right w:val="single" w:sz="4" w:space="0" w:color="auto"/>
            </w:tcBorders>
            <w:shd w:val="clear" w:color="auto" w:fill="auto"/>
            <w:noWrap/>
            <w:vAlign w:val="bottom"/>
            <w:hideMark/>
          </w:tcPr>
          <w:p w14:paraId="6F0BC43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0,8%</w:t>
            </w:r>
          </w:p>
        </w:tc>
        <w:tc>
          <w:tcPr>
            <w:tcW w:w="987" w:type="dxa"/>
            <w:tcBorders>
              <w:top w:val="nil"/>
              <w:left w:val="nil"/>
              <w:bottom w:val="single" w:sz="4" w:space="0" w:color="auto"/>
              <w:right w:val="single" w:sz="4" w:space="0" w:color="auto"/>
            </w:tcBorders>
            <w:shd w:val="clear" w:color="auto" w:fill="auto"/>
            <w:noWrap/>
            <w:vAlign w:val="bottom"/>
            <w:hideMark/>
          </w:tcPr>
          <w:p w14:paraId="3174348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269" w:type="dxa"/>
            <w:tcBorders>
              <w:top w:val="nil"/>
              <w:left w:val="nil"/>
              <w:bottom w:val="single" w:sz="4" w:space="0" w:color="auto"/>
              <w:right w:val="single" w:sz="4" w:space="0" w:color="auto"/>
            </w:tcBorders>
            <w:shd w:val="clear" w:color="auto" w:fill="auto"/>
            <w:noWrap/>
            <w:vAlign w:val="bottom"/>
            <w:hideMark/>
          </w:tcPr>
          <w:p w14:paraId="5210B75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4,4%</w:t>
            </w:r>
          </w:p>
        </w:tc>
        <w:tc>
          <w:tcPr>
            <w:tcW w:w="1269" w:type="dxa"/>
            <w:tcBorders>
              <w:top w:val="nil"/>
              <w:left w:val="nil"/>
              <w:bottom w:val="single" w:sz="4" w:space="0" w:color="auto"/>
              <w:right w:val="single" w:sz="4" w:space="0" w:color="auto"/>
            </w:tcBorders>
            <w:shd w:val="clear" w:color="auto" w:fill="auto"/>
            <w:noWrap/>
            <w:vAlign w:val="bottom"/>
            <w:hideMark/>
          </w:tcPr>
          <w:p w14:paraId="6656BF0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3,8%</w:t>
            </w:r>
          </w:p>
        </w:tc>
      </w:tr>
      <w:tr w:rsidR="00A45E15" w:rsidRPr="00AF1F1F" w14:paraId="427F9304"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4F80B72"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 xml:space="preserve">Los </w:t>
            </w:r>
            <w:proofErr w:type="spellStart"/>
            <w:r w:rsidRPr="00AF1F1F">
              <w:rPr>
                <w:rFonts w:eastAsia="Times New Roman" w:cs="Times New Roman"/>
                <w:color w:val="000000"/>
                <w:sz w:val="20"/>
                <w:szCs w:val="20"/>
              </w:rPr>
              <w:t>Piletones</w:t>
            </w:r>
            <w:proofErr w:type="spellEnd"/>
            <w:r w:rsidRPr="00AF1F1F">
              <w:rPr>
                <w:rFonts w:eastAsia="Times New Roman" w:cs="Times New Roman"/>
                <w:color w:val="000000"/>
                <w:sz w:val="20"/>
                <w:szCs w:val="20"/>
              </w:rPr>
              <w:t xml:space="preserve"> II (CABA)</w:t>
            </w:r>
          </w:p>
        </w:tc>
        <w:tc>
          <w:tcPr>
            <w:tcW w:w="1151" w:type="dxa"/>
            <w:tcBorders>
              <w:top w:val="nil"/>
              <w:left w:val="nil"/>
              <w:bottom w:val="single" w:sz="4" w:space="0" w:color="auto"/>
              <w:right w:val="single" w:sz="4" w:space="0" w:color="auto"/>
            </w:tcBorders>
            <w:shd w:val="clear" w:color="auto" w:fill="auto"/>
            <w:noWrap/>
            <w:vAlign w:val="bottom"/>
            <w:hideMark/>
          </w:tcPr>
          <w:p w14:paraId="1ADBF93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4,1%</w:t>
            </w:r>
          </w:p>
        </w:tc>
        <w:tc>
          <w:tcPr>
            <w:tcW w:w="1457" w:type="dxa"/>
            <w:tcBorders>
              <w:top w:val="nil"/>
              <w:left w:val="nil"/>
              <w:bottom w:val="single" w:sz="4" w:space="0" w:color="auto"/>
              <w:right w:val="single" w:sz="4" w:space="0" w:color="auto"/>
            </w:tcBorders>
            <w:shd w:val="clear" w:color="auto" w:fill="auto"/>
            <w:noWrap/>
            <w:vAlign w:val="bottom"/>
            <w:hideMark/>
          </w:tcPr>
          <w:p w14:paraId="03F3B26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10,4%</w:t>
            </w:r>
          </w:p>
        </w:tc>
        <w:tc>
          <w:tcPr>
            <w:tcW w:w="1269" w:type="dxa"/>
            <w:tcBorders>
              <w:top w:val="nil"/>
              <w:left w:val="nil"/>
              <w:bottom w:val="single" w:sz="4" w:space="0" w:color="auto"/>
              <w:right w:val="single" w:sz="4" w:space="0" w:color="auto"/>
            </w:tcBorders>
            <w:shd w:val="clear" w:color="auto" w:fill="auto"/>
            <w:noWrap/>
            <w:vAlign w:val="bottom"/>
            <w:hideMark/>
          </w:tcPr>
          <w:p w14:paraId="370FFEF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987" w:type="dxa"/>
            <w:tcBorders>
              <w:top w:val="nil"/>
              <w:left w:val="nil"/>
              <w:bottom w:val="single" w:sz="4" w:space="0" w:color="auto"/>
              <w:right w:val="single" w:sz="4" w:space="0" w:color="auto"/>
            </w:tcBorders>
            <w:shd w:val="clear" w:color="auto" w:fill="auto"/>
            <w:noWrap/>
            <w:vAlign w:val="bottom"/>
            <w:hideMark/>
          </w:tcPr>
          <w:p w14:paraId="7BB4687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0,5%</w:t>
            </w:r>
          </w:p>
        </w:tc>
        <w:tc>
          <w:tcPr>
            <w:tcW w:w="1269" w:type="dxa"/>
            <w:tcBorders>
              <w:top w:val="nil"/>
              <w:left w:val="nil"/>
              <w:bottom w:val="single" w:sz="4" w:space="0" w:color="auto"/>
              <w:right w:val="single" w:sz="4" w:space="0" w:color="auto"/>
            </w:tcBorders>
            <w:shd w:val="clear" w:color="auto" w:fill="auto"/>
            <w:noWrap/>
            <w:vAlign w:val="bottom"/>
            <w:hideMark/>
          </w:tcPr>
          <w:p w14:paraId="5318CCA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8,3%</w:t>
            </w:r>
          </w:p>
        </w:tc>
        <w:tc>
          <w:tcPr>
            <w:tcW w:w="1269" w:type="dxa"/>
            <w:tcBorders>
              <w:top w:val="nil"/>
              <w:left w:val="nil"/>
              <w:bottom w:val="single" w:sz="4" w:space="0" w:color="auto"/>
              <w:right w:val="single" w:sz="4" w:space="0" w:color="auto"/>
            </w:tcBorders>
            <w:shd w:val="clear" w:color="auto" w:fill="auto"/>
            <w:noWrap/>
            <w:vAlign w:val="bottom"/>
            <w:hideMark/>
          </w:tcPr>
          <w:p w14:paraId="796F6B9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6,2%</w:t>
            </w:r>
          </w:p>
        </w:tc>
      </w:tr>
      <w:tr w:rsidR="00A45E15" w:rsidRPr="00AF1F1F" w14:paraId="44F0C7F3"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3337D067"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Luján (Ezeiza)</w:t>
            </w:r>
          </w:p>
        </w:tc>
        <w:tc>
          <w:tcPr>
            <w:tcW w:w="1151" w:type="dxa"/>
            <w:tcBorders>
              <w:top w:val="nil"/>
              <w:left w:val="nil"/>
              <w:bottom w:val="single" w:sz="4" w:space="0" w:color="auto"/>
              <w:right w:val="single" w:sz="4" w:space="0" w:color="auto"/>
            </w:tcBorders>
            <w:shd w:val="clear" w:color="auto" w:fill="auto"/>
            <w:noWrap/>
            <w:vAlign w:val="bottom"/>
            <w:hideMark/>
          </w:tcPr>
          <w:p w14:paraId="7F42D1F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4,5%</w:t>
            </w:r>
          </w:p>
        </w:tc>
        <w:tc>
          <w:tcPr>
            <w:tcW w:w="1457" w:type="dxa"/>
            <w:tcBorders>
              <w:top w:val="nil"/>
              <w:left w:val="nil"/>
              <w:bottom w:val="single" w:sz="4" w:space="0" w:color="auto"/>
              <w:right w:val="single" w:sz="4" w:space="0" w:color="auto"/>
            </w:tcBorders>
            <w:shd w:val="clear" w:color="auto" w:fill="auto"/>
            <w:noWrap/>
            <w:vAlign w:val="bottom"/>
            <w:hideMark/>
          </w:tcPr>
          <w:p w14:paraId="417EB73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15,0%</w:t>
            </w:r>
          </w:p>
        </w:tc>
        <w:tc>
          <w:tcPr>
            <w:tcW w:w="1269" w:type="dxa"/>
            <w:tcBorders>
              <w:top w:val="nil"/>
              <w:left w:val="nil"/>
              <w:bottom w:val="single" w:sz="4" w:space="0" w:color="auto"/>
              <w:right w:val="single" w:sz="4" w:space="0" w:color="auto"/>
            </w:tcBorders>
            <w:shd w:val="clear" w:color="auto" w:fill="auto"/>
            <w:noWrap/>
            <w:vAlign w:val="bottom"/>
            <w:hideMark/>
          </w:tcPr>
          <w:p w14:paraId="3546BC6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987" w:type="dxa"/>
            <w:tcBorders>
              <w:top w:val="nil"/>
              <w:left w:val="nil"/>
              <w:bottom w:val="single" w:sz="4" w:space="0" w:color="auto"/>
              <w:right w:val="single" w:sz="4" w:space="0" w:color="auto"/>
            </w:tcBorders>
            <w:shd w:val="clear" w:color="auto" w:fill="auto"/>
            <w:noWrap/>
            <w:vAlign w:val="bottom"/>
            <w:hideMark/>
          </w:tcPr>
          <w:p w14:paraId="75B5861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269" w:type="dxa"/>
            <w:tcBorders>
              <w:top w:val="nil"/>
              <w:left w:val="nil"/>
              <w:bottom w:val="single" w:sz="4" w:space="0" w:color="auto"/>
              <w:right w:val="single" w:sz="4" w:space="0" w:color="auto"/>
            </w:tcBorders>
            <w:shd w:val="clear" w:color="auto" w:fill="auto"/>
            <w:noWrap/>
            <w:vAlign w:val="bottom"/>
            <w:hideMark/>
          </w:tcPr>
          <w:p w14:paraId="4FE60AA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269" w:type="dxa"/>
            <w:tcBorders>
              <w:top w:val="nil"/>
              <w:left w:val="nil"/>
              <w:bottom w:val="single" w:sz="4" w:space="0" w:color="auto"/>
              <w:right w:val="single" w:sz="4" w:space="0" w:color="auto"/>
            </w:tcBorders>
            <w:shd w:val="clear" w:color="auto" w:fill="auto"/>
            <w:noWrap/>
            <w:vAlign w:val="bottom"/>
            <w:hideMark/>
          </w:tcPr>
          <w:p w14:paraId="4734857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5,0%</w:t>
            </w:r>
          </w:p>
        </w:tc>
      </w:tr>
      <w:tr w:rsidR="00A45E15" w:rsidRPr="00AF1F1F" w14:paraId="0E20A940"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4338513"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Maria</w:t>
            </w:r>
            <w:proofErr w:type="spellEnd"/>
            <w:r w:rsidRPr="00AF1F1F">
              <w:rPr>
                <w:rFonts w:eastAsia="Times New Roman" w:cs="Times New Roman"/>
                <w:color w:val="000000"/>
                <w:sz w:val="20"/>
                <w:szCs w:val="20"/>
              </w:rPr>
              <w:t xml:space="preserve"> Auxiliadora (CABA)</w:t>
            </w:r>
          </w:p>
        </w:tc>
        <w:tc>
          <w:tcPr>
            <w:tcW w:w="1151" w:type="dxa"/>
            <w:tcBorders>
              <w:top w:val="nil"/>
              <w:left w:val="nil"/>
              <w:bottom w:val="single" w:sz="4" w:space="0" w:color="auto"/>
              <w:right w:val="single" w:sz="4" w:space="0" w:color="auto"/>
            </w:tcBorders>
            <w:shd w:val="clear" w:color="auto" w:fill="auto"/>
            <w:noWrap/>
            <w:vAlign w:val="bottom"/>
            <w:hideMark/>
          </w:tcPr>
          <w:p w14:paraId="278514E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6,9%</w:t>
            </w:r>
          </w:p>
        </w:tc>
        <w:tc>
          <w:tcPr>
            <w:tcW w:w="1457" w:type="dxa"/>
            <w:tcBorders>
              <w:top w:val="nil"/>
              <w:left w:val="nil"/>
              <w:bottom w:val="single" w:sz="4" w:space="0" w:color="auto"/>
              <w:right w:val="single" w:sz="4" w:space="0" w:color="auto"/>
            </w:tcBorders>
            <w:shd w:val="clear" w:color="auto" w:fill="auto"/>
            <w:noWrap/>
            <w:vAlign w:val="bottom"/>
            <w:hideMark/>
          </w:tcPr>
          <w:p w14:paraId="377FA41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7,8%</w:t>
            </w:r>
          </w:p>
        </w:tc>
        <w:tc>
          <w:tcPr>
            <w:tcW w:w="1269" w:type="dxa"/>
            <w:tcBorders>
              <w:top w:val="nil"/>
              <w:left w:val="nil"/>
              <w:bottom w:val="single" w:sz="4" w:space="0" w:color="auto"/>
              <w:right w:val="single" w:sz="4" w:space="0" w:color="auto"/>
            </w:tcBorders>
            <w:shd w:val="clear" w:color="auto" w:fill="auto"/>
            <w:noWrap/>
            <w:vAlign w:val="bottom"/>
            <w:hideMark/>
          </w:tcPr>
          <w:p w14:paraId="36C67C0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987" w:type="dxa"/>
            <w:tcBorders>
              <w:top w:val="nil"/>
              <w:left w:val="nil"/>
              <w:bottom w:val="single" w:sz="4" w:space="0" w:color="auto"/>
              <w:right w:val="single" w:sz="4" w:space="0" w:color="auto"/>
            </w:tcBorders>
            <w:shd w:val="clear" w:color="auto" w:fill="auto"/>
            <w:noWrap/>
            <w:vAlign w:val="bottom"/>
            <w:hideMark/>
          </w:tcPr>
          <w:p w14:paraId="77907CB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269" w:type="dxa"/>
            <w:tcBorders>
              <w:top w:val="nil"/>
              <w:left w:val="nil"/>
              <w:bottom w:val="single" w:sz="4" w:space="0" w:color="auto"/>
              <w:right w:val="single" w:sz="4" w:space="0" w:color="auto"/>
            </w:tcBorders>
            <w:shd w:val="clear" w:color="auto" w:fill="auto"/>
            <w:noWrap/>
            <w:vAlign w:val="bottom"/>
            <w:hideMark/>
          </w:tcPr>
          <w:p w14:paraId="7D0E765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269" w:type="dxa"/>
            <w:tcBorders>
              <w:top w:val="nil"/>
              <w:left w:val="nil"/>
              <w:bottom w:val="single" w:sz="4" w:space="0" w:color="auto"/>
              <w:right w:val="single" w:sz="4" w:space="0" w:color="auto"/>
            </w:tcBorders>
            <w:shd w:val="clear" w:color="auto" w:fill="auto"/>
            <w:noWrap/>
            <w:vAlign w:val="bottom"/>
            <w:hideMark/>
          </w:tcPr>
          <w:p w14:paraId="2EDDCD7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2,9%</w:t>
            </w:r>
          </w:p>
        </w:tc>
      </w:tr>
      <w:tr w:rsidR="00A45E15" w:rsidRPr="00AF1F1F" w14:paraId="7C8066DA"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1609AD42"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Recoleta I (La Matanza)</w:t>
            </w:r>
          </w:p>
        </w:tc>
        <w:tc>
          <w:tcPr>
            <w:tcW w:w="1151" w:type="dxa"/>
            <w:tcBorders>
              <w:top w:val="nil"/>
              <w:left w:val="nil"/>
              <w:bottom w:val="single" w:sz="4" w:space="0" w:color="auto"/>
              <w:right w:val="single" w:sz="4" w:space="0" w:color="auto"/>
            </w:tcBorders>
            <w:shd w:val="clear" w:color="auto" w:fill="auto"/>
            <w:noWrap/>
            <w:vAlign w:val="bottom"/>
            <w:hideMark/>
          </w:tcPr>
          <w:p w14:paraId="0C48688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457" w:type="dxa"/>
            <w:tcBorders>
              <w:top w:val="nil"/>
              <w:left w:val="nil"/>
              <w:bottom w:val="single" w:sz="4" w:space="0" w:color="auto"/>
              <w:right w:val="single" w:sz="4" w:space="0" w:color="auto"/>
            </w:tcBorders>
            <w:shd w:val="clear" w:color="auto" w:fill="auto"/>
            <w:noWrap/>
            <w:vAlign w:val="bottom"/>
            <w:hideMark/>
          </w:tcPr>
          <w:p w14:paraId="50DE318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13,9%</w:t>
            </w:r>
          </w:p>
        </w:tc>
        <w:tc>
          <w:tcPr>
            <w:tcW w:w="1269" w:type="dxa"/>
            <w:tcBorders>
              <w:top w:val="nil"/>
              <w:left w:val="nil"/>
              <w:bottom w:val="single" w:sz="4" w:space="0" w:color="auto"/>
              <w:right w:val="single" w:sz="4" w:space="0" w:color="auto"/>
            </w:tcBorders>
            <w:shd w:val="clear" w:color="auto" w:fill="auto"/>
            <w:noWrap/>
            <w:vAlign w:val="bottom"/>
            <w:hideMark/>
          </w:tcPr>
          <w:p w14:paraId="771EA38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987" w:type="dxa"/>
            <w:tcBorders>
              <w:top w:val="nil"/>
              <w:left w:val="nil"/>
              <w:bottom w:val="single" w:sz="4" w:space="0" w:color="auto"/>
              <w:right w:val="single" w:sz="4" w:space="0" w:color="auto"/>
            </w:tcBorders>
            <w:shd w:val="clear" w:color="auto" w:fill="auto"/>
            <w:noWrap/>
            <w:vAlign w:val="bottom"/>
            <w:hideMark/>
          </w:tcPr>
          <w:p w14:paraId="6D74D85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w:t>
            </w:r>
          </w:p>
        </w:tc>
        <w:tc>
          <w:tcPr>
            <w:tcW w:w="1269" w:type="dxa"/>
            <w:tcBorders>
              <w:top w:val="nil"/>
              <w:left w:val="nil"/>
              <w:bottom w:val="single" w:sz="4" w:space="0" w:color="auto"/>
              <w:right w:val="single" w:sz="4" w:space="0" w:color="auto"/>
            </w:tcBorders>
            <w:shd w:val="clear" w:color="auto" w:fill="auto"/>
            <w:noWrap/>
            <w:vAlign w:val="bottom"/>
            <w:hideMark/>
          </w:tcPr>
          <w:p w14:paraId="369D9C7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5,0%</w:t>
            </w:r>
          </w:p>
        </w:tc>
        <w:tc>
          <w:tcPr>
            <w:tcW w:w="1269" w:type="dxa"/>
            <w:tcBorders>
              <w:top w:val="nil"/>
              <w:left w:val="nil"/>
              <w:bottom w:val="single" w:sz="4" w:space="0" w:color="auto"/>
              <w:right w:val="single" w:sz="4" w:space="0" w:color="auto"/>
            </w:tcBorders>
            <w:shd w:val="clear" w:color="auto" w:fill="auto"/>
            <w:noWrap/>
            <w:vAlign w:val="bottom"/>
            <w:hideMark/>
          </w:tcPr>
          <w:p w14:paraId="57874C2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4,9%</w:t>
            </w:r>
          </w:p>
        </w:tc>
      </w:tr>
      <w:tr w:rsidR="00A45E15" w:rsidRPr="00AF1F1F" w14:paraId="18C455BE"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4F6A35E"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Sakura</w:t>
            </w:r>
            <w:proofErr w:type="spellEnd"/>
            <w:r w:rsidRPr="00AF1F1F">
              <w:rPr>
                <w:rFonts w:eastAsia="Times New Roman" w:cs="Times New Roman"/>
                <w:color w:val="000000"/>
                <w:sz w:val="20"/>
                <w:szCs w:val="20"/>
              </w:rPr>
              <w:t xml:space="preserve"> (</w:t>
            </w:r>
            <w:proofErr w:type="spellStart"/>
            <w:r w:rsidRPr="00AF1F1F">
              <w:rPr>
                <w:rFonts w:eastAsia="Times New Roman" w:cs="Times New Roman"/>
                <w:color w:val="000000"/>
                <w:sz w:val="20"/>
                <w:szCs w:val="20"/>
              </w:rPr>
              <w:t>Alte</w:t>
            </w:r>
            <w:proofErr w:type="spellEnd"/>
            <w:r w:rsidRPr="00AF1F1F">
              <w:rPr>
                <w:rFonts w:eastAsia="Times New Roman" w:cs="Times New Roman"/>
                <w:color w:val="000000"/>
                <w:sz w:val="20"/>
                <w:szCs w:val="20"/>
              </w:rPr>
              <w:t>. Brown)</w:t>
            </w:r>
          </w:p>
        </w:tc>
        <w:tc>
          <w:tcPr>
            <w:tcW w:w="1151" w:type="dxa"/>
            <w:tcBorders>
              <w:top w:val="nil"/>
              <w:left w:val="nil"/>
              <w:bottom w:val="single" w:sz="4" w:space="0" w:color="auto"/>
              <w:right w:val="single" w:sz="4" w:space="0" w:color="auto"/>
            </w:tcBorders>
            <w:shd w:val="clear" w:color="auto" w:fill="auto"/>
            <w:noWrap/>
            <w:vAlign w:val="bottom"/>
            <w:hideMark/>
          </w:tcPr>
          <w:p w14:paraId="64E635D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457" w:type="dxa"/>
            <w:tcBorders>
              <w:top w:val="nil"/>
              <w:left w:val="nil"/>
              <w:bottom w:val="single" w:sz="4" w:space="0" w:color="auto"/>
              <w:right w:val="single" w:sz="4" w:space="0" w:color="auto"/>
            </w:tcBorders>
            <w:shd w:val="clear" w:color="auto" w:fill="auto"/>
            <w:noWrap/>
            <w:vAlign w:val="bottom"/>
            <w:hideMark/>
          </w:tcPr>
          <w:p w14:paraId="6EABAFF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15,5%</w:t>
            </w:r>
          </w:p>
        </w:tc>
        <w:tc>
          <w:tcPr>
            <w:tcW w:w="1269" w:type="dxa"/>
            <w:tcBorders>
              <w:top w:val="nil"/>
              <w:left w:val="nil"/>
              <w:bottom w:val="single" w:sz="4" w:space="0" w:color="auto"/>
              <w:right w:val="single" w:sz="4" w:space="0" w:color="auto"/>
            </w:tcBorders>
            <w:shd w:val="clear" w:color="auto" w:fill="auto"/>
            <w:noWrap/>
            <w:vAlign w:val="bottom"/>
            <w:hideMark/>
          </w:tcPr>
          <w:p w14:paraId="4B8AD8D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4,8%</w:t>
            </w:r>
          </w:p>
        </w:tc>
        <w:tc>
          <w:tcPr>
            <w:tcW w:w="987" w:type="dxa"/>
            <w:tcBorders>
              <w:top w:val="nil"/>
              <w:left w:val="nil"/>
              <w:bottom w:val="single" w:sz="4" w:space="0" w:color="auto"/>
              <w:right w:val="single" w:sz="4" w:space="0" w:color="auto"/>
            </w:tcBorders>
            <w:shd w:val="clear" w:color="auto" w:fill="auto"/>
            <w:noWrap/>
            <w:vAlign w:val="bottom"/>
            <w:hideMark/>
          </w:tcPr>
          <w:p w14:paraId="28AEAEC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w:t>
            </w:r>
          </w:p>
        </w:tc>
        <w:tc>
          <w:tcPr>
            <w:tcW w:w="1269" w:type="dxa"/>
            <w:tcBorders>
              <w:top w:val="nil"/>
              <w:left w:val="nil"/>
              <w:bottom w:val="single" w:sz="4" w:space="0" w:color="auto"/>
              <w:right w:val="single" w:sz="4" w:space="0" w:color="auto"/>
            </w:tcBorders>
            <w:shd w:val="clear" w:color="auto" w:fill="auto"/>
            <w:noWrap/>
            <w:vAlign w:val="bottom"/>
            <w:hideMark/>
          </w:tcPr>
          <w:p w14:paraId="5073612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7,1%</w:t>
            </w:r>
          </w:p>
        </w:tc>
        <w:tc>
          <w:tcPr>
            <w:tcW w:w="1269" w:type="dxa"/>
            <w:tcBorders>
              <w:top w:val="nil"/>
              <w:left w:val="nil"/>
              <w:bottom w:val="single" w:sz="4" w:space="0" w:color="auto"/>
              <w:right w:val="single" w:sz="4" w:space="0" w:color="auto"/>
            </w:tcBorders>
            <w:shd w:val="clear" w:color="auto" w:fill="auto"/>
            <w:noWrap/>
            <w:vAlign w:val="bottom"/>
            <w:hideMark/>
          </w:tcPr>
          <w:p w14:paraId="7564029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w:t>
            </w:r>
          </w:p>
        </w:tc>
      </w:tr>
      <w:tr w:rsidR="00A45E15" w:rsidRPr="00AF1F1F" w14:paraId="65CFF536"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3F1A094E"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Andrés (Ezeiza)</w:t>
            </w:r>
          </w:p>
        </w:tc>
        <w:tc>
          <w:tcPr>
            <w:tcW w:w="1151" w:type="dxa"/>
            <w:tcBorders>
              <w:top w:val="nil"/>
              <w:left w:val="nil"/>
              <w:bottom w:val="single" w:sz="4" w:space="0" w:color="auto"/>
              <w:right w:val="single" w:sz="4" w:space="0" w:color="auto"/>
            </w:tcBorders>
            <w:shd w:val="clear" w:color="auto" w:fill="auto"/>
            <w:noWrap/>
            <w:vAlign w:val="bottom"/>
            <w:hideMark/>
          </w:tcPr>
          <w:p w14:paraId="64E3C06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457" w:type="dxa"/>
            <w:tcBorders>
              <w:top w:val="nil"/>
              <w:left w:val="nil"/>
              <w:bottom w:val="single" w:sz="4" w:space="0" w:color="auto"/>
              <w:right w:val="single" w:sz="4" w:space="0" w:color="auto"/>
            </w:tcBorders>
            <w:shd w:val="clear" w:color="auto" w:fill="auto"/>
            <w:noWrap/>
            <w:vAlign w:val="bottom"/>
            <w:hideMark/>
          </w:tcPr>
          <w:p w14:paraId="10597C8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13,9%</w:t>
            </w:r>
          </w:p>
        </w:tc>
        <w:tc>
          <w:tcPr>
            <w:tcW w:w="1269" w:type="dxa"/>
            <w:tcBorders>
              <w:top w:val="nil"/>
              <w:left w:val="nil"/>
              <w:bottom w:val="single" w:sz="4" w:space="0" w:color="auto"/>
              <w:right w:val="single" w:sz="4" w:space="0" w:color="auto"/>
            </w:tcBorders>
            <w:shd w:val="clear" w:color="auto" w:fill="auto"/>
            <w:noWrap/>
            <w:vAlign w:val="bottom"/>
            <w:hideMark/>
          </w:tcPr>
          <w:p w14:paraId="5409F3B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987" w:type="dxa"/>
            <w:tcBorders>
              <w:top w:val="nil"/>
              <w:left w:val="nil"/>
              <w:bottom w:val="single" w:sz="4" w:space="0" w:color="auto"/>
              <w:right w:val="single" w:sz="4" w:space="0" w:color="auto"/>
            </w:tcBorders>
            <w:shd w:val="clear" w:color="auto" w:fill="auto"/>
            <w:noWrap/>
            <w:vAlign w:val="bottom"/>
            <w:hideMark/>
          </w:tcPr>
          <w:p w14:paraId="1CD8B78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269" w:type="dxa"/>
            <w:tcBorders>
              <w:top w:val="nil"/>
              <w:left w:val="nil"/>
              <w:bottom w:val="single" w:sz="4" w:space="0" w:color="auto"/>
              <w:right w:val="single" w:sz="4" w:space="0" w:color="auto"/>
            </w:tcBorders>
            <w:shd w:val="clear" w:color="auto" w:fill="auto"/>
            <w:noWrap/>
            <w:vAlign w:val="bottom"/>
            <w:hideMark/>
          </w:tcPr>
          <w:p w14:paraId="4105D1B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6,2%</w:t>
            </w:r>
          </w:p>
        </w:tc>
        <w:tc>
          <w:tcPr>
            <w:tcW w:w="1269" w:type="dxa"/>
            <w:tcBorders>
              <w:top w:val="nil"/>
              <w:left w:val="nil"/>
              <w:bottom w:val="single" w:sz="4" w:space="0" w:color="auto"/>
              <w:right w:val="single" w:sz="4" w:space="0" w:color="auto"/>
            </w:tcBorders>
            <w:shd w:val="clear" w:color="auto" w:fill="auto"/>
            <w:noWrap/>
            <w:vAlign w:val="bottom"/>
            <w:hideMark/>
          </w:tcPr>
          <w:p w14:paraId="174C511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r>
      <w:tr w:rsidR="00A45E15" w:rsidRPr="00AF1F1F" w14:paraId="641060A2" w14:textId="77777777" w:rsidTr="00D01016">
        <w:trPr>
          <w:trHeight w:hRule="exact" w:val="325"/>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75FEFD3E"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Carlos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5246318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2,0%</w:t>
            </w:r>
          </w:p>
        </w:tc>
        <w:tc>
          <w:tcPr>
            <w:tcW w:w="1457" w:type="dxa"/>
            <w:tcBorders>
              <w:top w:val="nil"/>
              <w:left w:val="nil"/>
              <w:bottom w:val="single" w:sz="4" w:space="0" w:color="auto"/>
              <w:right w:val="single" w:sz="4" w:space="0" w:color="auto"/>
            </w:tcBorders>
            <w:shd w:val="clear" w:color="auto" w:fill="auto"/>
            <w:noWrap/>
            <w:vAlign w:val="bottom"/>
            <w:hideMark/>
          </w:tcPr>
          <w:p w14:paraId="69E7DC2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17,7%</w:t>
            </w:r>
          </w:p>
        </w:tc>
        <w:tc>
          <w:tcPr>
            <w:tcW w:w="1269" w:type="dxa"/>
            <w:tcBorders>
              <w:top w:val="nil"/>
              <w:left w:val="nil"/>
              <w:bottom w:val="single" w:sz="4" w:space="0" w:color="auto"/>
              <w:right w:val="single" w:sz="4" w:space="0" w:color="auto"/>
            </w:tcBorders>
            <w:shd w:val="clear" w:color="auto" w:fill="auto"/>
            <w:noWrap/>
            <w:vAlign w:val="bottom"/>
            <w:hideMark/>
          </w:tcPr>
          <w:p w14:paraId="7EF53CD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0,8%</w:t>
            </w:r>
          </w:p>
        </w:tc>
        <w:tc>
          <w:tcPr>
            <w:tcW w:w="987" w:type="dxa"/>
            <w:tcBorders>
              <w:top w:val="nil"/>
              <w:left w:val="nil"/>
              <w:bottom w:val="single" w:sz="4" w:space="0" w:color="auto"/>
              <w:right w:val="single" w:sz="4" w:space="0" w:color="auto"/>
            </w:tcBorders>
            <w:shd w:val="clear" w:color="auto" w:fill="auto"/>
            <w:noWrap/>
            <w:vAlign w:val="bottom"/>
            <w:hideMark/>
          </w:tcPr>
          <w:p w14:paraId="212B4C2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4,4%</w:t>
            </w:r>
          </w:p>
        </w:tc>
        <w:tc>
          <w:tcPr>
            <w:tcW w:w="1269" w:type="dxa"/>
            <w:tcBorders>
              <w:top w:val="nil"/>
              <w:left w:val="nil"/>
              <w:bottom w:val="single" w:sz="4" w:space="0" w:color="auto"/>
              <w:right w:val="single" w:sz="4" w:space="0" w:color="auto"/>
            </w:tcBorders>
            <w:shd w:val="clear" w:color="auto" w:fill="auto"/>
            <w:noWrap/>
            <w:vAlign w:val="bottom"/>
            <w:hideMark/>
          </w:tcPr>
          <w:p w14:paraId="15149A5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6,0%</w:t>
            </w:r>
          </w:p>
        </w:tc>
        <w:tc>
          <w:tcPr>
            <w:tcW w:w="1269" w:type="dxa"/>
            <w:tcBorders>
              <w:top w:val="nil"/>
              <w:left w:val="nil"/>
              <w:bottom w:val="single" w:sz="4" w:space="0" w:color="auto"/>
              <w:right w:val="single" w:sz="4" w:space="0" w:color="auto"/>
            </w:tcBorders>
            <w:shd w:val="clear" w:color="auto" w:fill="auto"/>
            <w:noWrap/>
            <w:vAlign w:val="bottom"/>
            <w:hideMark/>
          </w:tcPr>
          <w:p w14:paraId="52716A8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5,6%</w:t>
            </w:r>
          </w:p>
        </w:tc>
      </w:tr>
      <w:tr w:rsidR="00A45E15" w:rsidRPr="00AF1F1F" w14:paraId="47A072EE" w14:textId="77777777" w:rsidTr="00D01016">
        <w:trPr>
          <w:trHeight w:hRule="exact" w:val="570"/>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3580B67"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Carlos Oeste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43BA657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457" w:type="dxa"/>
            <w:tcBorders>
              <w:top w:val="nil"/>
              <w:left w:val="nil"/>
              <w:bottom w:val="single" w:sz="4" w:space="0" w:color="auto"/>
              <w:right w:val="single" w:sz="4" w:space="0" w:color="auto"/>
            </w:tcBorders>
            <w:shd w:val="clear" w:color="auto" w:fill="auto"/>
            <w:noWrap/>
            <w:vAlign w:val="bottom"/>
            <w:hideMark/>
          </w:tcPr>
          <w:p w14:paraId="60D3EB3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25,0%</w:t>
            </w:r>
          </w:p>
        </w:tc>
        <w:tc>
          <w:tcPr>
            <w:tcW w:w="1269" w:type="dxa"/>
            <w:tcBorders>
              <w:top w:val="nil"/>
              <w:left w:val="nil"/>
              <w:bottom w:val="single" w:sz="4" w:space="0" w:color="auto"/>
              <w:right w:val="single" w:sz="4" w:space="0" w:color="auto"/>
            </w:tcBorders>
            <w:shd w:val="clear" w:color="auto" w:fill="auto"/>
            <w:noWrap/>
            <w:vAlign w:val="bottom"/>
            <w:hideMark/>
          </w:tcPr>
          <w:p w14:paraId="3CF3540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987" w:type="dxa"/>
            <w:tcBorders>
              <w:top w:val="nil"/>
              <w:left w:val="nil"/>
              <w:bottom w:val="single" w:sz="4" w:space="0" w:color="auto"/>
              <w:right w:val="single" w:sz="4" w:space="0" w:color="auto"/>
            </w:tcBorders>
            <w:shd w:val="clear" w:color="auto" w:fill="auto"/>
            <w:noWrap/>
            <w:vAlign w:val="bottom"/>
            <w:hideMark/>
          </w:tcPr>
          <w:p w14:paraId="5DEC63F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50C3F47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12,5%</w:t>
            </w:r>
          </w:p>
        </w:tc>
        <w:tc>
          <w:tcPr>
            <w:tcW w:w="1269" w:type="dxa"/>
            <w:tcBorders>
              <w:top w:val="nil"/>
              <w:left w:val="nil"/>
              <w:bottom w:val="single" w:sz="4" w:space="0" w:color="auto"/>
              <w:right w:val="single" w:sz="4" w:space="0" w:color="auto"/>
            </w:tcBorders>
            <w:shd w:val="clear" w:color="auto" w:fill="auto"/>
            <w:noWrap/>
            <w:vAlign w:val="bottom"/>
            <w:hideMark/>
          </w:tcPr>
          <w:p w14:paraId="08873F9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12,5%</w:t>
            </w:r>
          </w:p>
        </w:tc>
      </w:tr>
      <w:tr w:rsidR="00A45E15" w:rsidRPr="00AF1F1F" w14:paraId="023197D1" w14:textId="77777777" w:rsidTr="00D01016">
        <w:trPr>
          <w:trHeight w:hRule="exact" w:val="631"/>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7165E8D4"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Soledad (Lomas de Zamora)</w:t>
            </w:r>
          </w:p>
        </w:tc>
        <w:tc>
          <w:tcPr>
            <w:tcW w:w="1151" w:type="dxa"/>
            <w:tcBorders>
              <w:top w:val="nil"/>
              <w:left w:val="nil"/>
              <w:bottom w:val="single" w:sz="4" w:space="0" w:color="auto"/>
              <w:right w:val="single" w:sz="4" w:space="0" w:color="auto"/>
            </w:tcBorders>
            <w:shd w:val="clear" w:color="auto" w:fill="auto"/>
            <w:noWrap/>
            <w:vAlign w:val="bottom"/>
            <w:hideMark/>
          </w:tcPr>
          <w:p w14:paraId="6DA1FB1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3,7%</w:t>
            </w:r>
          </w:p>
        </w:tc>
        <w:tc>
          <w:tcPr>
            <w:tcW w:w="1457" w:type="dxa"/>
            <w:tcBorders>
              <w:top w:val="nil"/>
              <w:left w:val="nil"/>
              <w:bottom w:val="single" w:sz="4" w:space="0" w:color="auto"/>
              <w:right w:val="single" w:sz="4" w:space="0" w:color="auto"/>
            </w:tcBorders>
            <w:shd w:val="clear" w:color="auto" w:fill="auto"/>
            <w:noWrap/>
            <w:vAlign w:val="bottom"/>
            <w:hideMark/>
          </w:tcPr>
          <w:p w14:paraId="7A2A4E6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12,3%</w:t>
            </w:r>
          </w:p>
        </w:tc>
        <w:tc>
          <w:tcPr>
            <w:tcW w:w="1269" w:type="dxa"/>
            <w:tcBorders>
              <w:top w:val="nil"/>
              <w:left w:val="nil"/>
              <w:bottom w:val="single" w:sz="4" w:space="0" w:color="auto"/>
              <w:right w:val="single" w:sz="4" w:space="0" w:color="auto"/>
            </w:tcBorders>
            <w:shd w:val="clear" w:color="auto" w:fill="auto"/>
            <w:noWrap/>
            <w:vAlign w:val="bottom"/>
            <w:hideMark/>
          </w:tcPr>
          <w:p w14:paraId="440E0C3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3,7%</w:t>
            </w:r>
          </w:p>
        </w:tc>
        <w:tc>
          <w:tcPr>
            <w:tcW w:w="987" w:type="dxa"/>
            <w:tcBorders>
              <w:top w:val="nil"/>
              <w:left w:val="nil"/>
              <w:bottom w:val="single" w:sz="4" w:space="0" w:color="auto"/>
              <w:right w:val="single" w:sz="4" w:space="0" w:color="auto"/>
            </w:tcBorders>
            <w:shd w:val="clear" w:color="auto" w:fill="auto"/>
            <w:noWrap/>
            <w:vAlign w:val="bottom"/>
            <w:hideMark/>
          </w:tcPr>
          <w:p w14:paraId="69F8B67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269" w:type="dxa"/>
            <w:tcBorders>
              <w:top w:val="nil"/>
              <w:left w:val="nil"/>
              <w:bottom w:val="single" w:sz="4" w:space="0" w:color="auto"/>
              <w:right w:val="single" w:sz="4" w:space="0" w:color="auto"/>
            </w:tcBorders>
            <w:shd w:val="clear" w:color="auto" w:fill="auto"/>
            <w:noWrap/>
            <w:vAlign w:val="bottom"/>
            <w:hideMark/>
          </w:tcPr>
          <w:p w14:paraId="057CA41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269" w:type="dxa"/>
            <w:tcBorders>
              <w:top w:val="nil"/>
              <w:left w:val="nil"/>
              <w:bottom w:val="single" w:sz="4" w:space="0" w:color="auto"/>
              <w:right w:val="single" w:sz="4" w:space="0" w:color="auto"/>
            </w:tcBorders>
            <w:shd w:val="clear" w:color="auto" w:fill="auto"/>
            <w:noWrap/>
            <w:vAlign w:val="bottom"/>
            <w:hideMark/>
          </w:tcPr>
          <w:p w14:paraId="19AFA3F4"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5,6%</w:t>
            </w:r>
          </w:p>
        </w:tc>
      </w:tr>
      <w:tr w:rsidR="00A45E15" w:rsidRPr="00AF1F1F" w14:paraId="389AB963"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4399EE0A"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Torchiario</w:t>
            </w:r>
            <w:proofErr w:type="spellEnd"/>
            <w:r w:rsidRPr="00AF1F1F">
              <w:rPr>
                <w:rFonts w:eastAsia="Times New Roman" w:cs="Times New Roman"/>
                <w:color w:val="000000"/>
                <w:sz w:val="20"/>
                <w:szCs w:val="20"/>
              </w:rPr>
              <w:t xml:space="preserve"> (Marcos Paz)</w:t>
            </w:r>
          </w:p>
        </w:tc>
        <w:tc>
          <w:tcPr>
            <w:tcW w:w="1151" w:type="dxa"/>
            <w:tcBorders>
              <w:top w:val="nil"/>
              <w:left w:val="nil"/>
              <w:bottom w:val="single" w:sz="4" w:space="0" w:color="auto"/>
              <w:right w:val="single" w:sz="4" w:space="0" w:color="auto"/>
            </w:tcBorders>
            <w:shd w:val="clear" w:color="auto" w:fill="auto"/>
            <w:noWrap/>
            <w:vAlign w:val="bottom"/>
            <w:hideMark/>
          </w:tcPr>
          <w:p w14:paraId="034DC98F"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c>
          <w:tcPr>
            <w:tcW w:w="1457" w:type="dxa"/>
            <w:tcBorders>
              <w:top w:val="nil"/>
              <w:left w:val="nil"/>
              <w:bottom w:val="single" w:sz="4" w:space="0" w:color="auto"/>
              <w:right w:val="single" w:sz="4" w:space="0" w:color="auto"/>
            </w:tcBorders>
            <w:shd w:val="clear" w:color="auto" w:fill="auto"/>
            <w:noWrap/>
            <w:vAlign w:val="bottom"/>
            <w:hideMark/>
          </w:tcPr>
          <w:p w14:paraId="5A3A27D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14,4%</w:t>
            </w:r>
          </w:p>
        </w:tc>
        <w:tc>
          <w:tcPr>
            <w:tcW w:w="1269" w:type="dxa"/>
            <w:tcBorders>
              <w:top w:val="nil"/>
              <w:left w:val="nil"/>
              <w:bottom w:val="single" w:sz="4" w:space="0" w:color="auto"/>
              <w:right w:val="single" w:sz="4" w:space="0" w:color="auto"/>
            </w:tcBorders>
            <w:shd w:val="clear" w:color="auto" w:fill="auto"/>
            <w:noWrap/>
            <w:vAlign w:val="bottom"/>
            <w:hideMark/>
          </w:tcPr>
          <w:p w14:paraId="041792D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987" w:type="dxa"/>
            <w:tcBorders>
              <w:top w:val="nil"/>
              <w:left w:val="nil"/>
              <w:bottom w:val="single" w:sz="4" w:space="0" w:color="auto"/>
              <w:right w:val="single" w:sz="4" w:space="0" w:color="auto"/>
            </w:tcBorders>
            <w:shd w:val="clear" w:color="auto" w:fill="auto"/>
            <w:noWrap/>
            <w:vAlign w:val="bottom"/>
            <w:hideMark/>
          </w:tcPr>
          <w:p w14:paraId="1768246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3,4%</w:t>
            </w:r>
          </w:p>
        </w:tc>
        <w:tc>
          <w:tcPr>
            <w:tcW w:w="1269" w:type="dxa"/>
            <w:tcBorders>
              <w:top w:val="nil"/>
              <w:left w:val="nil"/>
              <w:bottom w:val="single" w:sz="4" w:space="0" w:color="auto"/>
              <w:right w:val="single" w:sz="4" w:space="0" w:color="auto"/>
            </w:tcBorders>
            <w:shd w:val="clear" w:color="auto" w:fill="auto"/>
            <w:noWrap/>
            <w:vAlign w:val="bottom"/>
            <w:hideMark/>
          </w:tcPr>
          <w:p w14:paraId="11488FE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269" w:type="dxa"/>
            <w:tcBorders>
              <w:top w:val="nil"/>
              <w:left w:val="nil"/>
              <w:bottom w:val="single" w:sz="4" w:space="0" w:color="auto"/>
              <w:right w:val="single" w:sz="4" w:space="0" w:color="auto"/>
            </w:tcBorders>
            <w:shd w:val="clear" w:color="auto" w:fill="auto"/>
            <w:noWrap/>
            <w:vAlign w:val="bottom"/>
            <w:hideMark/>
          </w:tcPr>
          <w:p w14:paraId="27C4812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r>
      <w:tr w:rsidR="00A45E15" w:rsidRPr="00AF1F1F" w14:paraId="6BADF2D0"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22C6E21C"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Trasradio</w:t>
            </w:r>
            <w:proofErr w:type="spellEnd"/>
            <w:r w:rsidRPr="00AF1F1F">
              <w:rPr>
                <w:rFonts w:eastAsia="Times New Roman" w:cs="Times New Roman"/>
                <w:color w:val="000000"/>
                <w:sz w:val="20"/>
                <w:szCs w:val="20"/>
              </w:rPr>
              <w:t xml:space="preserve"> (E. Echeverría)</w:t>
            </w:r>
          </w:p>
        </w:tc>
        <w:tc>
          <w:tcPr>
            <w:tcW w:w="1151" w:type="dxa"/>
            <w:tcBorders>
              <w:top w:val="nil"/>
              <w:left w:val="nil"/>
              <w:bottom w:val="single" w:sz="4" w:space="0" w:color="auto"/>
              <w:right w:val="single" w:sz="4" w:space="0" w:color="auto"/>
            </w:tcBorders>
            <w:shd w:val="clear" w:color="auto" w:fill="auto"/>
            <w:noWrap/>
            <w:vAlign w:val="bottom"/>
            <w:hideMark/>
          </w:tcPr>
          <w:p w14:paraId="42DD092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c>
          <w:tcPr>
            <w:tcW w:w="1457" w:type="dxa"/>
            <w:tcBorders>
              <w:top w:val="nil"/>
              <w:left w:val="nil"/>
              <w:bottom w:val="single" w:sz="4" w:space="0" w:color="auto"/>
              <w:right w:val="single" w:sz="4" w:space="0" w:color="auto"/>
            </w:tcBorders>
            <w:shd w:val="clear" w:color="auto" w:fill="auto"/>
            <w:noWrap/>
            <w:vAlign w:val="bottom"/>
            <w:hideMark/>
          </w:tcPr>
          <w:p w14:paraId="34B5648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15,4%</w:t>
            </w:r>
          </w:p>
        </w:tc>
        <w:tc>
          <w:tcPr>
            <w:tcW w:w="1269" w:type="dxa"/>
            <w:tcBorders>
              <w:top w:val="nil"/>
              <w:left w:val="nil"/>
              <w:bottom w:val="single" w:sz="4" w:space="0" w:color="auto"/>
              <w:right w:val="single" w:sz="4" w:space="0" w:color="auto"/>
            </w:tcBorders>
            <w:shd w:val="clear" w:color="auto" w:fill="auto"/>
            <w:noWrap/>
            <w:vAlign w:val="bottom"/>
            <w:hideMark/>
          </w:tcPr>
          <w:p w14:paraId="2DDF5C5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2,9%</w:t>
            </w:r>
          </w:p>
        </w:tc>
        <w:tc>
          <w:tcPr>
            <w:tcW w:w="987" w:type="dxa"/>
            <w:tcBorders>
              <w:top w:val="nil"/>
              <w:left w:val="nil"/>
              <w:bottom w:val="single" w:sz="4" w:space="0" w:color="auto"/>
              <w:right w:val="single" w:sz="4" w:space="0" w:color="auto"/>
            </w:tcBorders>
            <w:shd w:val="clear" w:color="auto" w:fill="auto"/>
            <w:noWrap/>
            <w:vAlign w:val="bottom"/>
            <w:hideMark/>
          </w:tcPr>
          <w:p w14:paraId="6CE5B39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269" w:type="dxa"/>
            <w:tcBorders>
              <w:top w:val="nil"/>
              <w:left w:val="nil"/>
              <w:bottom w:val="single" w:sz="4" w:space="0" w:color="auto"/>
              <w:right w:val="single" w:sz="4" w:space="0" w:color="auto"/>
            </w:tcBorders>
            <w:shd w:val="clear" w:color="auto" w:fill="auto"/>
            <w:noWrap/>
            <w:vAlign w:val="bottom"/>
            <w:hideMark/>
          </w:tcPr>
          <w:p w14:paraId="4327A715"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6,3%</w:t>
            </w:r>
          </w:p>
        </w:tc>
        <w:tc>
          <w:tcPr>
            <w:tcW w:w="1269" w:type="dxa"/>
            <w:tcBorders>
              <w:top w:val="nil"/>
              <w:left w:val="nil"/>
              <w:bottom w:val="single" w:sz="4" w:space="0" w:color="auto"/>
              <w:right w:val="single" w:sz="4" w:space="0" w:color="auto"/>
            </w:tcBorders>
            <w:shd w:val="clear" w:color="auto" w:fill="auto"/>
            <w:noWrap/>
            <w:vAlign w:val="bottom"/>
            <w:hideMark/>
          </w:tcPr>
          <w:p w14:paraId="6341BAF3"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r>
      <w:tr w:rsidR="00A45E15" w:rsidRPr="00AF1F1F" w14:paraId="30131DCC"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0B48FD0B" w14:textId="77777777" w:rsidR="00F05996" w:rsidRPr="00AF1F1F" w:rsidRDefault="00F05996" w:rsidP="00786F8C">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Urioste</w:t>
            </w:r>
            <w:proofErr w:type="spellEnd"/>
            <w:r w:rsidRPr="00AF1F1F">
              <w:rPr>
                <w:rFonts w:eastAsia="Times New Roman" w:cs="Times New Roman"/>
                <w:color w:val="000000"/>
                <w:sz w:val="20"/>
                <w:szCs w:val="20"/>
              </w:rPr>
              <w:t xml:space="preserve"> (Marcos Paz)</w:t>
            </w:r>
          </w:p>
        </w:tc>
        <w:tc>
          <w:tcPr>
            <w:tcW w:w="1151" w:type="dxa"/>
            <w:tcBorders>
              <w:top w:val="nil"/>
              <w:left w:val="nil"/>
              <w:bottom w:val="single" w:sz="4" w:space="0" w:color="auto"/>
              <w:right w:val="single" w:sz="4" w:space="0" w:color="auto"/>
            </w:tcBorders>
            <w:shd w:val="clear" w:color="auto" w:fill="auto"/>
            <w:noWrap/>
            <w:vAlign w:val="bottom"/>
            <w:hideMark/>
          </w:tcPr>
          <w:p w14:paraId="0A203CA2"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457" w:type="dxa"/>
            <w:tcBorders>
              <w:top w:val="nil"/>
              <w:left w:val="nil"/>
              <w:bottom w:val="single" w:sz="4" w:space="0" w:color="auto"/>
              <w:right w:val="single" w:sz="4" w:space="0" w:color="auto"/>
            </w:tcBorders>
            <w:shd w:val="clear" w:color="auto" w:fill="auto"/>
            <w:noWrap/>
            <w:vAlign w:val="bottom"/>
            <w:hideMark/>
          </w:tcPr>
          <w:p w14:paraId="11C2B7B8"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7,3%</w:t>
            </w:r>
          </w:p>
        </w:tc>
        <w:tc>
          <w:tcPr>
            <w:tcW w:w="1269" w:type="dxa"/>
            <w:tcBorders>
              <w:top w:val="nil"/>
              <w:left w:val="nil"/>
              <w:bottom w:val="single" w:sz="4" w:space="0" w:color="auto"/>
              <w:right w:val="single" w:sz="4" w:space="0" w:color="auto"/>
            </w:tcBorders>
            <w:shd w:val="clear" w:color="auto" w:fill="auto"/>
            <w:noWrap/>
            <w:vAlign w:val="bottom"/>
            <w:hideMark/>
          </w:tcPr>
          <w:p w14:paraId="760ECF6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w:t>
            </w:r>
          </w:p>
        </w:tc>
        <w:tc>
          <w:tcPr>
            <w:tcW w:w="987" w:type="dxa"/>
            <w:tcBorders>
              <w:top w:val="nil"/>
              <w:left w:val="nil"/>
              <w:bottom w:val="single" w:sz="4" w:space="0" w:color="auto"/>
              <w:right w:val="single" w:sz="4" w:space="0" w:color="auto"/>
            </w:tcBorders>
            <w:shd w:val="clear" w:color="auto" w:fill="auto"/>
            <w:noWrap/>
            <w:vAlign w:val="bottom"/>
            <w:hideMark/>
          </w:tcPr>
          <w:p w14:paraId="3137A02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269" w:type="dxa"/>
            <w:tcBorders>
              <w:top w:val="nil"/>
              <w:left w:val="nil"/>
              <w:bottom w:val="single" w:sz="4" w:space="0" w:color="auto"/>
              <w:right w:val="single" w:sz="4" w:space="0" w:color="auto"/>
            </w:tcBorders>
            <w:shd w:val="clear" w:color="auto" w:fill="auto"/>
            <w:noWrap/>
            <w:vAlign w:val="bottom"/>
            <w:hideMark/>
          </w:tcPr>
          <w:p w14:paraId="3E07A3D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8,5%</w:t>
            </w:r>
          </w:p>
        </w:tc>
        <w:tc>
          <w:tcPr>
            <w:tcW w:w="1269" w:type="dxa"/>
            <w:tcBorders>
              <w:top w:val="nil"/>
              <w:left w:val="nil"/>
              <w:bottom w:val="single" w:sz="4" w:space="0" w:color="auto"/>
              <w:right w:val="single" w:sz="4" w:space="0" w:color="auto"/>
            </w:tcBorders>
            <w:shd w:val="clear" w:color="auto" w:fill="auto"/>
            <w:noWrap/>
            <w:vAlign w:val="bottom"/>
            <w:hideMark/>
          </w:tcPr>
          <w:p w14:paraId="4625B81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3,7%</w:t>
            </w:r>
          </w:p>
        </w:tc>
      </w:tr>
      <w:tr w:rsidR="00A45E15" w:rsidRPr="00AF1F1F" w14:paraId="05D227E1"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86AE8BC"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Villa Talleres (Lanús)</w:t>
            </w:r>
          </w:p>
        </w:tc>
        <w:tc>
          <w:tcPr>
            <w:tcW w:w="1151" w:type="dxa"/>
            <w:tcBorders>
              <w:top w:val="nil"/>
              <w:left w:val="nil"/>
              <w:bottom w:val="single" w:sz="4" w:space="0" w:color="auto"/>
              <w:right w:val="single" w:sz="4" w:space="0" w:color="auto"/>
            </w:tcBorders>
            <w:shd w:val="clear" w:color="auto" w:fill="auto"/>
            <w:noWrap/>
            <w:vAlign w:val="bottom"/>
            <w:hideMark/>
          </w:tcPr>
          <w:p w14:paraId="686F5507"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7,3%</w:t>
            </w:r>
          </w:p>
        </w:tc>
        <w:tc>
          <w:tcPr>
            <w:tcW w:w="1457" w:type="dxa"/>
            <w:tcBorders>
              <w:top w:val="nil"/>
              <w:left w:val="nil"/>
              <w:bottom w:val="single" w:sz="4" w:space="0" w:color="auto"/>
              <w:right w:val="single" w:sz="4" w:space="0" w:color="auto"/>
            </w:tcBorders>
            <w:shd w:val="clear" w:color="auto" w:fill="auto"/>
            <w:noWrap/>
            <w:vAlign w:val="bottom"/>
            <w:hideMark/>
          </w:tcPr>
          <w:p w14:paraId="121DDA7E"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18,7%</w:t>
            </w:r>
          </w:p>
        </w:tc>
        <w:tc>
          <w:tcPr>
            <w:tcW w:w="1269" w:type="dxa"/>
            <w:tcBorders>
              <w:top w:val="nil"/>
              <w:left w:val="nil"/>
              <w:bottom w:val="single" w:sz="4" w:space="0" w:color="auto"/>
              <w:right w:val="single" w:sz="4" w:space="0" w:color="auto"/>
            </w:tcBorders>
            <w:shd w:val="clear" w:color="auto" w:fill="auto"/>
            <w:noWrap/>
            <w:vAlign w:val="bottom"/>
            <w:hideMark/>
          </w:tcPr>
          <w:p w14:paraId="1E53CB4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987" w:type="dxa"/>
            <w:tcBorders>
              <w:top w:val="nil"/>
              <w:left w:val="nil"/>
              <w:bottom w:val="single" w:sz="4" w:space="0" w:color="auto"/>
              <w:right w:val="single" w:sz="4" w:space="0" w:color="auto"/>
            </w:tcBorders>
            <w:shd w:val="clear" w:color="auto" w:fill="auto"/>
            <w:noWrap/>
            <w:vAlign w:val="bottom"/>
            <w:hideMark/>
          </w:tcPr>
          <w:p w14:paraId="0FAAECF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w:t>
            </w:r>
          </w:p>
        </w:tc>
        <w:tc>
          <w:tcPr>
            <w:tcW w:w="1269" w:type="dxa"/>
            <w:tcBorders>
              <w:top w:val="nil"/>
              <w:left w:val="nil"/>
              <w:bottom w:val="single" w:sz="4" w:space="0" w:color="auto"/>
              <w:right w:val="single" w:sz="4" w:space="0" w:color="auto"/>
            </w:tcBorders>
            <w:shd w:val="clear" w:color="auto" w:fill="auto"/>
            <w:noWrap/>
            <w:vAlign w:val="bottom"/>
            <w:hideMark/>
          </w:tcPr>
          <w:p w14:paraId="2B509439"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269" w:type="dxa"/>
            <w:tcBorders>
              <w:top w:val="nil"/>
              <w:left w:val="nil"/>
              <w:bottom w:val="single" w:sz="4" w:space="0" w:color="auto"/>
              <w:right w:val="single" w:sz="4" w:space="0" w:color="auto"/>
            </w:tcBorders>
            <w:shd w:val="clear" w:color="auto" w:fill="auto"/>
            <w:noWrap/>
            <w:vAlign w:val="bottom"/>
            <w:hideMark/>
          </w:tcPr>
          <w:p w14:paraId="4D530ACD"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r>
      <w:tr w:rsidR="00A45E15" w:rsidRPr="00AF1F1F" w14:paraId="06F4284D" w14:textId="77777777" w:rsidTr="005E55AE">
        <w:trPr>
          <w:trHeight w:hRule="exact" w:val="278"/>
          <w:jc w:val="center"/>
        </w:trPr>
        <w:tc>
          <w:tcPr>
            <w:tcW w:w="2606" w:type="dxa"/>
            <w:tcBorders>
              <w:top w:val="nil"/>
              <w:left w:val="single" w:sz="4" w:space="0" w:color="auto"/>
              <w:bottom w:val="single" w:sz="4" w:space="0" w:color="auto"/>
              <w:right w:val="single" w:sz="4" w:space="0" w:color="auto"/>
            </w:tcBorders>
            <w:shd w:val="clear" w:color="auto" w:fill="auto"/>
            <w:noWrap/>
            <w:vAlign w:val="center"/>
            <w:hideMark/>
          </w:tcPr>
          <w:p w14:paraId="6A508833" w14:textId="77777777" w:rsidR="00F05996" w:rsidRPr="00AF1F1F" w:rsidRDefault="00F05996" w:rsidP="00786F8C">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Vista Linda (Ezeiza)</w:t>
            </w:r>
          </w:p>
        </w:tc>
        <w:tc>
          <w:tcPr>
            <w:tcW w:w="1151" w:type="dxa"/>
            <w:tcBorders>
              <w:top w:val="nil"/>
              <w:left w:val="nil"/>
              <w:bottom w:val="single" w:sz="4" w:space="0" w:color="auto"/>
              <w:right w:val="single" w:sz="4" w:space="0" w:color="auto"/>
            </w:tcBorders>
            <w:shd w:val="clear" w:color="auto" w:fill="auto"/>
            <w:noWrap/>
            <w:vAlign w:val="bottom"/>
            <w:hideMark/>
          </w:tcPr>
          <w:p w14:paraId="2E8605D6"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457" w:type="dxa"/>
            <w:tcBorders>
              <w:top w:val="nil"/>
              <w:left w:val="nil"/>
              <w:bottom w:val="single" w:sz="4" w:space="0" w:color="auto"/>
              <w:right w:val="single" w:sz="4" w:space="0" w:color="auto"/>
            </w:tcBorders>
            <w:shd w:val="clear" w:color="auto" w:fill="auto"/>
            <w:noWrap/>
            <w:vAlign w:val="bottom"/>
            <w:hideMark/>
          </w:tcPr>
          <w:p w14:paraId="669ABF80"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17,1%</w:t>
            </w:r>
          </w:p>
        </w:tc>
        <w:tc>
          <w:tcPr>
            <w:tcW w:w="1269" w:type="dxa"/>
            <w:tcBorders>
              <w:top w:val="nil"/>
              <w:left w:val="nil"/>
              <w:bottom w:val="single" w:sz="4" w:space="0" w:color="auto"/>
              <w:right w:val="single" w:sz="4" w:space="0" w:color="auto"/>
            </w:tcBorders>
            <w:shd w:val="clear" w:color="auto" w:fill="auto"/>
            <w:noWrap/>
            <w:vAlign w:val="bottom"/>
            <w:hideMark/>
          </w:tcPr>
          <w:p w14:paraId="59B18CC1"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987" w:type="dxa"/>
            <w:tcBorders>
              <w:top w:val="nil"/>
              <w:left w:val="nil"/>
              <w:bottom w:val="single" w:sz="4" w:space="0" w:color="auto"/>
              <w:right w:val="single" w:sz="4" w:space="0" w:color="auto"/>
            </w:tcBorders>
            <w:shd w:val="clear" w:color="auto" w:fill="auto"/>
            <w:noWrap/>
            <w:vAlign w:val="bottom"/>
            <w:hideMark/>
          </w:tcPr>
          <w:p w14:paraId="0B71C09A"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269" w:type="dxa"/>
            <w:tcBorders>
              <w:top w:val="nil"/>
              <w:left w:val="nil"/>
              <w:bottom w:val="single" w:sz="4" w:space="0" w:color="auto"/>
              <w:right w:val="single" w:sz="4" w:space="0" w:color="auto"/>
            </w:tcBorders>
            <w:shd w:val="clear" w:color="auto" w:fill="auto"/>
            <w:noWrap/>
            <w:vAlign w:val="bottom"/>
            <w:hideMark/>
          </w:tcPr>
          <w:p w14:paraId="25F68A6C"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9,4%</w:t>
            </w:r>
          </w:p>
        </w:tc>
        <w:tc>
          <w:tcPr>
            <w:tcW w:w="1269" w:type="dxa"/>
            <w:tcBorders>
              <w:top w:val="nil"/>
              <w:left w:val="nil"/>
              <w:bottom w:val="single" w:sz="4" w:space="0" w:color="auto"/>
              <w:right w:val="single" w:sz="4" w:space="0" w:color="auto"/>
            </w:tcBorders>
            <w:shd w:val="clear" w:color="auto" w:fill="auto"/>
            <w:noWrap/>
            <w:vAlign w:val="bottom"/>
            <w:hideMark/>
          </w:tcPr>
          <w:p w14:paraId="7E2906BB" w14:textId="77777777" w:rsidR="00F05996" w:rsidRPr="00AF1F1F" w:rsidRDefault="00F05996" w:rsidP="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6,2%</w:t>
            </w:r>
          </w:p>
        </w:tc>
      </w:tr>
      <w:tr w:rsidR="00A45E15" w:rsidRPr="00AF1F1F" w14:paraId="7881EF4D" w14:textId="77777777" w:rsidTr="005E55AE">
        <w:trPr>
          <w:trHeight w:hRule="exact" w:val="373"/>
          <w:jc w:val="center"/>
        </w:trPr>
        <w:tc>
          <w:tcPr>
            <w:tcW w:w="2606" w:type="dxa"/>
            <w:tcBorders>
              <w:top w:val="nil"/>
              <w:left w:val="single" w:sz="4" w:space="0" w:color="auto"/>
              <w:bottom w:val="single" w:sz="4" w:space="0" w:color="auto"/>
              <w:right w:val="single" w:sz="4" w:space="0" w:color="auto"/>
            </w:tcBorders>
            <w:shd w:val="clear" w:color="000000" w:fill="FFE699"/>
            <w:vAlign w:val="center"/>
            <w:hideMark/>
          </w:tcPr>
          <w:p w14:paraId="5FBAC8E5"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Total operativos</w:t>
            </w:r>
          </w:p>
        </w:tc>
        <w:tc>
          <w:tcPr>
            <w:tcW w:w="1151" w:type="dxa"/>
            <w:tcBorders>
              <w:top w:val="nil"/>
              <w:left w:val="nil"/>
              <w:bottom w:val="single" w:sz="4" w:space="0" w:color="auto"/>
              <w:right w:val="single" w:sz="4" w:space="0" w:color="auto"/>
            </w:tcBorders>
            <w:shd w:val="clear" w:color="000000" w:fill="FFE699"/>
            <w:vAlign w:val="center"/>
            <w:hideMark/>
          </w:tcPr>
          <w:p w14:paraId="1BB9D881"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4,2%</w:t>
            </w:r>
          </w:p>
        </w:tc>
        <w:tc>
          <w:tcPr>
            <w:tcW w:w="1457" w:type="dxa"/>
            <w:tcBorders>
              <w:top w:val="nil"/>
              <w:left w:val="nil"/>
              <w:bottom w:val="single" w:sz="4" w:space="0" w:color="auto"/>
              <w:right w:val="single" w:sz="4" w:space="0" w:color="auto"/>
            </w:tcBorders>
            <w:shd w:val="clear" w:color="000000" w:fill="FFE699"/>
            <w:vAlign w:val="center"/>
            <w:hideMark/>
          </w:tcPr>
          <w:p w14:paraId="43B38223"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13,4%</w:t>
            </w:r>
          </w:p>
        </w:tc>
        <w:tc>
          <w:tcPr>
            <w:tcW w:w="1269" w:type="dxa"/>
            <w:tcBorders>
              <w:top w:val="nil"/>
              <w:left w:val="nil"/>
              <w:bottom w:val="single" w:sz="4" w:space="0" w:color="auto"/>
              <w:right w:val="single" w:sz="4" w:space="0" w:color="auto"/>
            </w:tcBorders>
            <w:shd w:val="clear" w:color="000000" w:fill="FFE699"/>
            <w:vAlign w:val="center"/>
            <w:hideMark/>
          </w:tcPr>
          <w:p w14:paraId="5894582C"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1,7%</w:t>
            </w:r>
          </w:p>
        </w:tc>
        <w:tc>
          <w:tcPr>
            <w:tcW w:w="987" w:type="dxa"/>
            <w:tcBorders>
              <w:top w:val="nil"/>
              <w:left w:val="nil"/>
              <w:bottom w:val="single" w:sz="4" w:space="0" w:color="auto"/>
              <w:right w:val="single" w:sz="4" w:space="0" w:color="auto"/>
            </w:tcBorders>
            <w:shd w:val="clear" w:color="000000" w:fill="FFE699"/>
            <w:vAlign w:val="center"/>
            <w:hideMark/>
          </w:tcPr>
          <w:p w14:paraId="4E07798F"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1,6%</w:t>
            </w:r>
          </w:p>
        </w:tc>
        <w:tc>
          <w:tcPr>
            <w:tcW w:w="1269" w:type="dxa"/>
            <w:tcBorders>
              <w:top w:val="nil"/>
              <w:left w:val="nil"/>
              <w:bottom w:val="single" w:sz="4" w:space="0" w:color="auto"/>
              <w:right w:val="single" w:sz="4" w:space="0" w:color="auto"/>
            </w:tcBorders>
            <w:shd w:val="clear" w:color="000000" w:fill="FFE699"/>
            <w:vAlign w:val="center"/>
            <w:hideMark/>
          </w:tcPr>
          <w:p w14:paraId="0FCF3A2B"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5,9%</w:t>
            </w:r>
          </w:p>
        </w:tc>
        <w:tc>
          <w:tcPr>
            <w:tcW w:w="1269" w:type="dxa"/>
            <w:tcBorders>
              <w:top w:val="nil"/>
              <w:left w:val="nil"/>
              <w:bottom w:val="single" w:sz="4" w:space="0" w:color="auto"/>
              <w:right w:val="single" w:sz="4" w:space="0" w:color="auto"/>
            </w:tcBorders>
            <w:shd w:val="clear" w:color="000000" w:fill="FFE699"/>
            <w:vAlign w:val="center"/>
            <w:hideMark/>
          </w:tcPr>
          <w:p w14:paraId="1BF74795" w14:textId="77777777" w:rsidR="00F05996" w:rsidRPr="00AF1F1F" w:rsidRDefault="00F05996"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4,5%</w:t>
            </w:r>
          </w:p>
        </w:tc>
      </w:tr>
    </w:tbl>
    <w:p w14:paraId="0B2BE536" w14:textId="77777777" w:rsidR="00900D5B" w:rsidRDefault="00C70F0F">
      <w:pPr>
        <w:ind w:firstLine="0"/>
        <w:jc w:val="center"/>
        <w:rPr>
          <w:sz w:val="18"/>
          <w:szCs w:val="18"/>
        </w:rPr>
      </w:pPr>
      <w:r>
        <w:rPr>
          <w:sz w:val="18"/>
          <w:szCs w:val="18"/>
        </w:rPr>
        <w:t>Fuente: elaboración propia en base a datos EISAAR</w:t>
      </w:r>
    </w:p>
    <w:p w14:paraId="2E050F93" w14:textId="77777777" w:rsidR="00900D5B" w:rsidRDefault="00900D5B">
      <w:pPr>
        <w:ind w:firstLine="0"/>
        <w:jc w:val="center"/>
        <w:rPr>
          <w:sz w:val="18"/>
          <w:szCs w:val="18"/>
        </w:rPr>
      </w:pPr>
    </w:p>
    <w:p w14:paraId="133354C5" w14:textId="5DA916BD" w:rsidR="00900D5B" w:rsidRPr="00AF1F1F" w:rsidRDefault="00C70F0F">
      <w:pPr>
        <w:ind w:firstLine="420"/>
        <w:rPr>
          <w:sz w:val="22"/>
        </w:rPr>
      </w:pPr>
      <w:r w:rsidRPr="00AF1F1F">
        <w:rPr>
          <w:sz w:val="22"/>
        </w:rPr>
        <w:t xml:space="preserve">De los entrevistados se refirió en un </w:t>
      </w:r>
      <w:r w:rsidR="002D6A55" w:rsidRPr="00AF1F1F">
        <w:rPr>
          <w:sz w:val="22"/>
        </w:rPr>
        <w:t>9,5</w:t>
      </w:r>
      <w:r w:rsidRPr="00AF1F1F">
        <w:rPr>
          <w:sz w:val="22"/>
        </w:rPr>
        <w:t>% (</w:t>
      </w:r>
      <w:r w:rsidR="002D6A55" w:rsidRPr="00AF1F1F">
        <w:rPr>
          <w:sz w:val="22"/>
        </w:rPr>
        <w:t>1634</w:t>
      </w:r>
      <w:r w:rsidRPr="00AF1F1F">
        <w:rPr>
          <w:sz w:val="22"/>
        </w:rPr>
        <w:t xml:space="preserve">) de personas, tos o dificultad para respirar en el último año. Del total de personas que refieren este problema de salud, el </w:t>
      </w:r>
      <w:r w:rsidR="002D6A55" w:rsidRPr="00AF1F1F">
        <w:rPr>
          <w:sz w:val="22"/>
        </w:rPr>
        <w:t>38,</w:t>
      </w:r>
      <w:r w:rsidR="00CE6217" w:rsidRPr="00AF1F1F">
        <w:rPr>
          <w:sz w:val="22"/>
        </w:rPr>
        <w:t>6</w:t>
      </w:r>
      <w:r w:rsidRPr="00AF1F1F">
        <w:rPr>
          <w:sz w:val="22"/>
        </w:rPr>
        <w:t>% (</w:t>
      </w:r>
      <w:r w:rsidR="002D6A55" w:rsidRPr="00AF1F1F">
        <w:rPr>
          <w:sz w:val="22"/>
        </w:rPr>
        <w:t>631</w:t>
      </w:r>
      <w:r w:rsidRPr="00AF1F1F">
        <w:rPr>
          <w:sz w:val="22"/>
        </w:rPr>
        <w:t>) tuvieron 3 o más episodios, esto representó el 3,</w:t>
      </w:r>
      <w:r w:rsidR="002D6A55" w:rsidRPr="00AF1F1F">
        <w:rPr>
          <w:sz w:val="22"/>
        </w:rPr>
        <w:t>7</w:t>
      </w:r>
      <w:r w:rsidRPr="00AF1F1F">
        <w:rPr>
          <w:sz w:val="22"/>
        </w:rPr>
        <w:t xml:space="preserve">% del total de las personas relevadas. Con respecto a diarreas en el último año hubo referencia en </w:t>
      </w:r>
      <w:r w:rsidR="00CE6217" w:rsidRPr="00AF1F1F">
        <w:rPr>
          <w:sz w:val="22"/>
        </w:rPr>
        <w:t>8,5</w:t>
      </w:r>
      <w:r w:rsidRPr="00AF1F1F">
        <w:rPr>
          <w:sz w:val="22"/>
        </w:rPr>
        <w:t>% (</w:t>
      </w:r>
      <w:r w:rsidR="00CE6217" w:rsidRPr="00AF1F1F">
        <w:rPr>
          <w:sz w:val="22"/>
        </w:rPr>
        <w:t>1460</w:t>
      </w:r>
      <w:r w:rsidRPr="00AF1F1F">
        <w:rPr>
          <w:sz w:val="22"/>
        </w:rPr>
        <w:t xml:space="preserve">) de las personas relevadas, de éstos, </w:t>
      </w:r>
      <w:r w:rsidR="00CE6217" w:rsidRPr="00AF1F1F">
        <w:rPr>
          <w:sz w:val="22"/>
        </w:rPr>
        <w:t>33,5</w:t>
      </w:r>
      <w:r w:rsidRPr="00AF1F1F">
        <w:rPr>
          <w:sz w:val="22"/>
        </w:rPr>
        <w:t>% (</w:t>
      </w:r>
      <w:r w:rsidR="00CE6217" w:rsidRPr="00AF1F1F">
        <w:rPr>
          <w:sz w:val="22"/>
        </w:rPr>
        <w:t>489</w:t>
      </w:r>
      <w:r w:rsidRPr="00AF1F1F">
        <w:rPr>
          <w:sz w:val="22"/>
        </w:rPr>
        <w:t>) tuvieron 3 episodios o más, lo cual representó el</w:t>
      </w:r>
      <w:r w:rsidR="00CE6217" w:rsidRPr="00AF1F1F">
        <w:rPr>
          <w:sz w:val="22"/>
        </w:rPr>
        <w:t xml:space="preserve"> 2,9</w:t>
      </w:r>
      <w:r w:rsidRPr="00AF1F1F">
        <w:rPr>
          <w:sz w:val="22"/>
        </w:rPr>
        <w:t xml:space="preserve">% del total las personas relevadas </w:t>
      </w:r>
    </w:p>
    <w:p w14:paraId="3347BF4B" w14:textId="2F416CE5" w:rsidR="00900D5B" w:rsidRPr="00AF1F1F" w:rsidRDefault="00C70F0F">
      <w:pPr>
        <w:ind w:firstLine="420"/>
        <w:rPr>
          <w:sz w:val="22"/>
        </w:rPr>
      </w:pPr>
      <w:r w:rsidRPr="00AF1F1F">
        <w:rPr>
          <w:sz w:val="22"/>
        </w:rPr>
        <w:t xml:space="preserve">El </w:t>
      </w:r>
      <w:r w:rsidR="00CE6217" w:rsidRPr="00AF1F1F">
        <w:rPr>
          <w:sz w:val="22"/>
        </w:rPr>
        <w:t>8,1</w:t>
      </w:r>
      <w:r w:rsidRPr="00AF1F1F">
        <w:rPr>
          <w:sz w:val="22"/>
        </w:rPr>
        <w:t>% (</w:t>
      </w:r>
      <w:r w:rsidR="00CE6217" w:rsidRPr="00AF1F1F">
        <w:rPr>
          <w:sz w:val="22"/>
        </w:rPr>
        <w:t>1396</w:t>
      </w:r>
      <w:r w:rsidRPr="00AF1F1F">
        <w:rPr>
          <w:sz w:val="22"/>
        </w:rPr>
        <w:t xml:space="preserve">) de los casos, hizo referencia a problemas dermatológicos. </w:t>
      </w:r>
    </w:p>
    <w:p w14:paraId="5B198905" w14:textId="77777777" w:rsidR="005E55AE" w:rsidRPr="00AF1F1F" w:rsidRDefault="005E55AE">
      <w:pPr>
        <w:ind w:firstLine="420"/>
        <w:rPr>
          <w:sz w:val="22"/>
        </w:rPr>
      </w:pPr>
    </w:p>
    <w:p w14:paraId="3E2E823B" w14:textId="5EDED9DB" w:rsidR="00900D5B" w:rsidRPr="00AF1F1F" w:rsidRDefault="00C70F0F">
      <w:pPr>
        <w:ind w:firstLine="0"/>
        <w:jc w:val="left"/>
        <w:rPr>
          <w:sz w:val="22"/>
        </w:rPr>
      </w:pPr>
      <w:r w:rsidRPr="00AF1F1F">
        <w:rPr>
          <w:b/>
          <w:sz w:val="22"/>
        </w:rPr>
        <w:lastRenderedPageBreak/>
        <w:t xml:space="preserve">Tabla </w:t>
      </w:r>
      <w:r w:rsidR="00C06348" w:rsidRPr="00AF1F1F">
        <w:rPr>
          <w:b/>
          <w:sz w:val="22"/>
        </w:rPr>
        <w:t>9</w:t>
      </w:r>
      <w:r w:rsidRPr="00AF1F1F">
        <w:rPr>
          <w:b/>
          <w:sz w:val="22"/>
        </w:rPr>
        <w:t>:</w:t>
      </w:r>
      <w:r w:rsidRPr="00AF1F1F">
        <w:rPr>
          <w:sz w:val="22"/>
        </w:rPr>
        <w:t xml:space="preserve"> Problemas de Salud referidos por las personas en barrios relevados de la CMR, enero-</w:t>
      </w:r>
      <w:r w:rsidR="00A45E15" w:rsidRPr="00AF1F1F">
        <w:rPr>
          <w:sz w:val="22"/>
        </w:rPr>
        <w:t xml:space="preserve">octubre </w:t>
      </w:r>
      <w:r w:rsidRPr="00AF1F1F">
        <w:rPr>
          <w:sz w:val="22"/>
        </w:rPr>
        <w:t>2019.  n=1</w:t>
      </w:r>
      <w:r w:rsidR="00A45E15" w:rsidRPr="00AF1F1F">
        <w:rPr>
          <w:sz w:val="22"/>
        </w:rPr>
        <w:t>7146</w:t>
      </w:r>
      <w:r w:rsidRPr="00AF1F1F">
        <w:rPr>
          <w:sz w:val="22"/>
        </w:rPr>
        <w:t>.</w:t>
      </w:r>
    </w:p>
    <w:tbl>
      <w:tblPr>
        <w:tblW w:w="11085" w:type="dxa"/>
        <w:jc w:val="center"/>
        <w:tblCellMar>
          <w:left w:w="70" w:type="dxa"/>
          <w:right w:w="70" w:type="dxa"/>
        </w:tblCellMar>
        <w:tblLook w:val="04A0" w:firstRow="1" w:lastRow="0" w:firstColumn="1" w:lastColumn="0" w:noHBand="0" w:noVBand="1"/>
      </w:tblPr>
      <w:tblGrid>
        <w:gridCol w:w="3388"/>
        <w:gridCol w:w="1172"/>
        <w:gridCol w:w="1324"/>
        <w:gridCol w:w="1172"/>
        <w:gridCol w:w="1172"/>
        <w:gridCol w:w="1172"/>
        <w:gridCol w:w="1685"/>
      </w:tblGrid>
      <w:tr w:rsidR="005404F2" w:rsidRPr="00AF1F1F" w14:paraId="310DB389" w14:textId="77777777" w:rsidTr="003270F6">
        <w:trPr>
          <w:cantSplit/>
          <w:trHeight w:hRule="exact" w:val="946"/>
          <w:tblHeader/>
          <w:jc w:val="center"/>
        </w:trPr>
        <w:tc>
          <w:tcPr>
            <w:tcW w:w="3388"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1946EAE7" w14:textId="77777777" w:rsidR="00A45E15" w:rsidRPr="00AF1F1F" w:rsidRDefault="00A45E15">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Barrio</w:t>
            </w:r>
          </w:p>
        </w:tc>
        <w:tc>
          <w:tcPr>
            <w:tcW w:w="1172" w:type="dxa"/>
            <w:tcBorders>
              <w:top w:val="single" w:sz="4" w:space="0" w:color="auto"/>
              <w:left w:val="nil"/>
              <w:bottom w:val="single" w:sz="4" w:space="0" w:color="auto"/>
              <w:right w:val="single" w:sz="4" w:space="0" w:color="auto"/>
            </w:tcBorders>
            <w:shd w:val="clear" w:color="000000" w:fill="BDD7EE"/>
            <w:vAlign w:val="center"/>
            <w:hideMark/>
          </w:tcPr>
          <w:p w14:paraId="50AE4EBF"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Tos o dificultad para respirar</w:t>
            </w:r>
          </w:p>
        </w:tc>
        <w:tc>
          <w:tcPr>
            <w:tcW w:w="1324" w:type="dxa"/>
            <w:tcBorders>
              <w:top w:val="single" w:sz="4" w:space="0" w:color="auto"/>
              <w:left w:val="nil"/>
              <w:bottom w:val="single" w:sz="4" w:space="0" w:color="auto"/>
              <w:right w:val="single" w:sz="4" w:space="0" w:color="auto"/>
            </w:tcBorders>
            <w:shd w:val="clear" w:color="000000" w:fill="BDD7EE"/>
            <w:vAlign w:val="center"/>
            <w:hideMark/>
          </w:tcPr>
          <w:p w14:paraId="4A0FE362"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Tos o dificultad para respirar 3 o más episodios</w:t>
            </w:r>
          </w:p>
        </w:tc>
        <w:tc>
          <w:tcPr>
            <w:tcW w:w="1172" w:type="dxa"/>
            <w:tcBorders>
              <w:top w:val="single" w:sz="4" w:space="0" w:color="auto"/>
              <w:left w:val="nil"/>
              <w:bottom w:val="single" w:sz="4" w:space="0" w:color="auto"/>
              <w:right w:val="single" w:sz="4" w:space="0" w:color="auto"/>
            </w:tcBorders>
            <w:shd w:val="clear" w:color="000000" w:fill="BDD7EE"/>
            <w:vAlign w:val="center"/>
            <w:hideMark/>
          </w:tcPr>
          <w:p w14:paraId="5E92F2F4"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Diarreas</w:t>
            </w:r>
          </w:p>
        </w:tc>
        <w:tc>
          <w:tcPr>
            <w:tcW w:w="1172" w:type="dxa"/>
            <w:tcBorders>
              <w:top w:val="single" w:sz="4" w:space="0" w:color="auto"/>
              <w:left w:val="nil"/>
              <w:bottom w:val="single" w:sz="4" w:space="0" w:color="auto"/>
              <w:right w:val="single" w:sz="4" w:space="0" w:color="auto"/>
            </w:tcBorders>
            <w:shd w:val="clear" w:color="000000" w:fill="BDD7EE"/>
            <w:vAlign w:val="center"/>
            <w:hideMark/>
          </w:tcPr>
          <w:p w14:paraId="467F5800"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Diarreas 3 o más episodios</w:t>
            </w:r>
          </w:p>
        </w:tc>
        <w:tc>
          <w:tcPr>
            <w:tcW w:w="1172" w:type="dxa"/>
            <w:tcBorders>
              <w:top w:val="single" w:sz="4" w:space="0" w:color="auto"/>
              <w:left w:val="nil"/>
              <w:bottom w:val="single" w:sz="4" w:space="0" w:color="auto"/>
              <w:right w:val="single" w:sz="4" w:space="0" w:color="auto"/>
            </w:tcBorders>
            <w:shd w:val="clear" w:color="000000" w:fill="BDD7EE"/>
            <w:vAlign w:val="center"/>
            <w:hideMark/>
          </w:tcPr>
          <w:p w14:paraId="1E5FDE48"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Parásitos</w:t>
            </w:r>
          </w:p>
        </w:tc>
        <w:tc>
          <w:tcPr>
            <w:tcW w:w="1685" w:type="dxa"/>
            <w:tcBorders>
              <w:top w:val="single" w:sz="4" w:space="0" w:color="auto"/>
              <w:left w:val="nil"/>
              <w:bottom w:val="single" w:sz="4" w:space="0" w:color="auto"/>
              <w:right w:val="single" w:sz="4" w:space="0" w:color="auto"/>
            </w:tcBorders>
            <w:shd w:val="clear" w:color="000000" w:fill="BDD7EE"/>
            <w:vAlign w:val="center"/>
            <w:hideMark/>
          </w:tcPr>
          <w:p w14:paraId="5EDF214F" w14:textId="77777777" w:rsidR="00A45E15" w:rsidRPr="00AF1F1F" w:rsidRDefault="00A45E15" w:rsidP="005E55AE">
            <w:pPr>
              <w:spacing w:line="240" w:lineRule="auto"/>
              <w:ind w:firstLine="0"/>
              <w:jc w:val="center"/>
              <w:rPr>
                <w:rFonts w:eastAsia="Times New Roman" w:cs="Times New Roman"/>
                <w:color w:val="000000"/>
                <w:sz w:val="20"/>
                <w:szCs w:val="20"/>
              </w:rPr>
            </w:pPr>
            <w:r w:rsidRPr="00AF1F1F">
              <w:rPr>
                <w:rFonts w:eastAsia="Times New Roman" w:cs="Times New Roman"/>
                <w:color w:val="000000"/>
                <w:sz w:val="20"/>
                <w:szCs w:val="20"/>
              </w:rPr>
              <w:t>Problemas dermatológicos</w:t>
            </w:r>
          </w:p>
        </w:tc>
      </w:tr>
      <w:tr w:rsidR="005404F2" w:rsidRPr="00AF1F1F" w14:paraId="42796AF2"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5AD4E7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1 de Octubre (Lomas de Zamora)</w:t>
            </w:r>
          </w:p>
        </w:tc>
        <w:tc>
          <w:tcPr>
            <w:tcW w:w="1172" w:type="dxa"/>
            <w:tcBorders>
              <w:top w:val="nil"/>
              <w:left w:val="nil"/>
              <w:bottom w:val="single" w:sz="4" w:space="0" w:color="auto"/>
              <w:right w:val="single" w:sz="4" w:space="0" w:color="auto"/>
            </w:tcBorders>
            <w:shd w:val="clear" w:color="auto" w:fill="auto"/>
            <w:noWrap/>
            <w:vAlign w:val="bottom"/>
            <w:hideMark/>
          </w:tcPr>
          <w:p w14:paraId="14A7C77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10,3%</w:t>
            </w:r>
          </w:p>
        </w:tc>
        <w:tc>
          <w:tcPr>
            <w:tcW w:w="1324" w:type="dxa"/>
            <w:tcBorders>
              <w:top w:val="nil"/>
              <w:left w:val="nil"/>
              <w:bottom w:val="single" w:sz="4" w:space="0" w:color="auto"/>
              <w:right w:val="single" w:sz="4" w:space="0" w:color="auto"/>
            </w:tcBorders>
            <w:shd w:val="clear" w:color="auto" w:fill="auto"/>
            <w:noWrap/>
            <w:vAlign w:val="bottom"/>
            <w:hideMark/>
          </w:tcPr>
          <w:p w14:paraId="039C7F9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c>
          <w:tcPr>
            <w:tcW w:w="1172" w:type="dxa"/>
            <w:tcBorders>
              <w:top w:val="nil"/>
              <w:left w:val="nil"/>
              <w:bottom w:val="single" w:sz="4" w:space="0" w:color="auto"/>
              <w:right w:val="single" w:sz="4" w:space="0" w:color="auto"/>
            </w:tcBorders>
            <w:shd w:val="clear" w:color="auto" w:fill="auto"/>
            <w:noWrap/>
            <w:vAlign w:val="bottom"/>
            <w:hideMark/>
          </w:tcPr>
          <w:p w14:paraId="25D7AFC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6,6%</w:t>
            </w:r>
          </w:p>
        </w:tc>
        <w:tc>
          <w:tcPr>
            <w:tcW w:w="1172" w:type="dxa"/>
            <w:tcBorders>
              <w:top w:val="nil"/>
              <w:left w:val="nil"/>
              <w:bottom w:val="single" w:sz="4" w:space="0" w:color="auto"/>
              <w:right w:val="single" w:sz="4" w:space="0" w:color="auto"/>
            </w:tcBorders>
            <w:shd w:val="clear" w:color="auto" w:fill="auto"/>
            <w:noWrap/>
            <w:vAlign w:val="bottom"/>
            <w:hideMark/>
          </w:tcPr>
          <w:p w14:paraId="5E7E482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c>
          <w:tcPr>
            <w:tcW w:w="1172" w:type="dxa"/>
            <w:tcBorders>
              <w:top w:val="nil"/>
              <w:left w:val="nil"/>
              <w:bottom w:val="single" w:sz="4" w:space="0" w:color="auto"/>
              <w:right w:val="single" w:sz="4" w:space="0" w:color="auto"/>
            </w:tcBorders>
            <w:shd w:val="clear" w:color="auto" w:fill="auto"/>
            <w:noWrap/>
            <w:vAlign w:val="bottom"/>
            <w:hideMark/>
          </w:tcPr>
          <w:p w14:paraId="2DA3774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685" w:type="dxa"/>
            <w:tcBorders>
              <w:top w:val="nil"/>
              <w:left w:val="nil"/>
              <w:bottom w:val="single" w:sz="4" w:space="0" w:color="auto"/>
              <w:right w:val="single" w:sz="4" w:space="0" w:color="auto"/>
            </w:tcBorders>
            <w:shd w:val="clear" w:color="auto" w:fill="auto"/>
            <w:noWrap/>
            <w:vAlign w:val="bottom"/>
            <w:hideMark/>
          </w:tcPr>
          <w:p w14:paraId="7323E0F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9,6%</w:t>
            </w:r>
          </w:p>
        </w:tc>
      </w:tr>
      <w:tr w:rsidR="005404F2" w:rsidRPr="00AF1F1F" w14:paraId="31025FFC"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4708A73F"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2 de mayo (Lomas de Zamora)</w:t>
            </w:r>
          </w:p>
        </w:tc>
        <w:tc>
          <w:tcPr>
            <w:tcW w:w="1172" w:type="dxa"/>
            <w:tcBorders>
              <w:top w:val="nil"/>
              <w:left w:val="nil"/>
              <w:bottom w:val="single" w:sz="4" w:space="0" w:color="auto"/>
              <w:right w:val="single" w:sz="4" w:space="0" w:color="auto"/>
            </w:tcBorders>
            <w:shd w:val="clear" w:color="auto" w:fill="auto"/>
            <w:noWrap/>
            <w:vAlign w:val="bottom"/>
            <w:hideMark/>
          </w:tcPr>
          <w:p w14:paraId="3204F3D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13,3%</w:t>
            </w:r>
          </w:p>
        </w:tc>
        <w:tc>
          <w:tcPr>
            <w:tcW w:w="1324" w:type="dxa"/>
            <w:tcBorders>
              <w:top w:val="nil"/>
              <w:left w:val="nil"/>
              <w:bottom w:val="single" w:sz="4" w:space="0" w:color="auto"/>
              <w:right w:val="single" w:sz="4" w:space="0" w:color="auto"/>
            </w:tcBorders>
            <w:shd w:val="clear" w:color="auto" w:fill="auto"/>
            <w:noWrap/>
            <w:vAlign w:val="bottom"/>
            <w:hideMark/>
          </w:tcPr>
          <w:p w14:paraId="030BD57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172" w:type="dxa"/>
            <w:tcBorders>
              <w:top w:val="nil"/>
              <w:left w:val="nil"/>
              <w:bottom w:val="single" w:sz="4" w:space="0" w:color="auto"/>
              <w:right w:val="single" w:sz="4" w:space="0" w:color="auto"/>
            </w:tcBorders>
            <w:shd w:val="clear" w:color="auto" w:fill="auto"/>
            <w:noWrap/>
            <w:vAlign w:val="bottom"/>
            <w:hideMark/>
          </w:tcPr>
          <w:p w14:paraId="780976A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172" w:type="dxa"/>
            <w:tcBorders>
              <w:top w:val="nil"/>
              <w:left w:val="nil"/>
              <w:bottom w:val="single" w:sz="4" w:space="0" w:color="auto"/>
              <w:right w:val="single" w:sz="4" w:space="0" w:color="auto"/>
            </w:tcBorders>
            <w:shd w:val="clear" w:color="auto" w:fill="auto"/>
            <w:noWrap/>
            <w:vAlign w:val="bottom"/>
            <w:hideMark/>
          </w:tcPr>
          <w:p w14:paraId="1E19832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172" w:type="dxa"/>
            <w:tcBorders>
              <w:top w:val="nil"/>
              <w:left w:val="nil"/>
              <w:bottom w:val="single" w:sz="4" w:space="0" w:color="auto"/>
              <w:right w:val="single" w:sz="4" w:space="0" w:color="auto"/>
            </w:tcBorders>
            <w:shd w:val="clear" w:color="auto" w:fill="auto"/>
            <w:noWrap/>
            <w:vAlign w:val="bottom"/>
            <w:hideMark/>
          </w:tcPr>
          <w:p w14:paraId="53C9D05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2,5%</w:t>
            </w:r>
          </w:p>
        </w:tc>
        <w:tc>
          <w:tcPr>
            <w:tcW w:w="1685" w:type="dxa"/>
            <w:tcBorders>
              <w:top w:val="nil"/>
              <w:left w:val="nil"/>
              <w:bottom w:val="single" w:sz="4" w:space="0" w:color="auto"/>
              <w:right w:val="single" w:sz="4" w:space="0" w:color="auto"/>
            </w:tcBorders>
            <w:shd w:val="clear" w:color="auto" w:fill="auto"/>
            <w:noWrap/>
            <w:vAlign w:val="bottom"/>
            <w:hideMark/>
          </w:tcPr>
          <w:p w14:paraId="0049F9D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6,8%</w:t>
            </w:r>
          </w:p>
        </w:tc>
      </w:tr>
      <w:tr w:rsidR="005404F2" w:rsidRPr="00AF1F1F" w14:paraId="4A09FD56"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432906D6"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24 viviendas (Lomas de Zamora)</w:t>
            </w:r>
          </w:p>
        </w:tc>
        <w:tc>
          <w:tcPr>
            <w:tcW w:w="1172" w:type="dxa"/>
            <w:tcBorders>
              <w:top w:val="nil"/>
              <w:left w:val="nil"/>
              <w:bottom w:val="single" w:sz="4" w:space="0" w:color="auto"/>
              <w:right w:val="single" w:sz="4" w:space="0" w:color="auto"/>
            </w:tcBorders>
            <w:shd w:val="clear" w:color="auto" w:fill="auto"/>
            <w:noWrap/>
            <w:vAlign w:val="bottom"/>
            <w:hideMark/>
          </w:tcPr>
          <w:p w14:paraId="17F8222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3,7%</w:t>
            </w:r>
          </w:p>
        </w:tc>
        <w:tc>
          <w:tcPr>
            <w:tcW w:w="1324" w:type="dxa"/>
            <w:tcBorders>
              <w:top w:val="nil"/>
              <w:left w:val="nil"/>
              <w:bottom w:val="single" w:sz="4" w:space="0" w:color="auto"/>
              <w:right w:val="single" w:sz="4" w:space="0" w:color="auto"/>
            </w:tcBorders>
            <w:shd w:val="clear" w:color="auto" w:fill="auto"/>
            <w:noWrap/>
            <w:vAlign w:val="bottom"/>
            <w:hideMark/>
          </w:tcPr>
          <w:p w14:paraId="2541EC0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172" w:type="dxa"/>
            <w:tcBorders>
              <w:top w:val="nil"/>
              <w:left w:val="nil"/>
              <w:bottom w:val="single" w:sz="4" w:space="0" w:color="auto"/>
              <w:right w:val="single" w:sz="4" w:space="0" w:color="auto"/>
            </w:tcBorders>
            <w:shd w:val="clear" w:color="auto" w:fill="auto"/>
            <w:noWrap/>
            <w:vAlign w:val="bottom"/>
            <w:hideMark/>
          </w:tcPr>
          <w:p w14:paraId="6D09CB6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20,4%</w:t>
            </w:r>
          </w:p>
        </w:tc>
        <w:tc>
          <w:tcPr>
            <w:tcW w:w="1172" w:type="dxa"/>
            <w:tcBorders>
              <w:top w:val="nil"/>
              <w:left w:val="nil"/>
              <w:bottom w:val="single" w:sz="4" w:space="0" w:color="auto"/>
              <w:right w:val="single" w:sz="4" w:space="0" w:color="auto"/>
            </w:tcBorders>
            <w:shd w:val="clear" w:color="auto" w:fill="auto"/>
            <w:noWrap/>
            <w:vAlign w:val="bottom"/>
            <w:hideMark/>
          </w:tcPr>
          <w:p w14:paraId="2BCCDAA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11,1%</w:t>
            </w:r>
          </w:p>
        </w:tc>
        <w:tc>
          <w:tcPr>
            <w:tcW w:w="1172" w:type="dxa"/>
            <w:tcBorders>
              <w:top w:val="nil"/>
              <w:left w:val="nil"/>
              <w:bottom w:val="single" w:sz="4" w:space="0" w:color="auto"/>
              <w:right w:val="single" w:sz="4" w:space="0" w:color="auto"/>
            </w:tcBorders>
            <w:shd w:val="clear" w:color="auto" w:fill="auto"/>
            <w:noWrap/>
            <w:vAlign w:val="bottom"/>
            <w:hideMark/>
          </w:tcPr>
          <w:p w14:paraId="6CEC0C8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11,1%</w:t>
            </w:r>
          </w:p>
        </w:tc>
        <w:tc>
          <w:tcPr>
            <w:tcW w:w="1685" w:type="dxa"/>
            <w:tcBorders>
              <w:top w:val="nil"/>
              <w:left w:val="nil"/>
              <w:bottom w:val="single" w:sz="4" w:space="0" w:color="auto"/>
              <w:right w:val="single" w:sz="4" w:space="0" w:color="auto"/>
            </w:tcBorders>
            <w:shd w:val="clear" w:color="auto" w:fill="auto"/>
            <w:noWrap/>
            <w:vAlign w:val="bottom"/>
            <w:hideMark/>
          </w:tcPr>
          <w:p w14:paraId="36AA9B0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11,1%</w:t>
            </w:r>
          </w:p>
        </w:tc>
      </w:tr>
      <w:tr w:rsidR="005404F2" w:rsidRPr="00AF1F1F" w14:paraId="218F98EE" w14:textId="77777777" w:rsidTr="00D01016">
        <w:trPr>
          <w:trHeight w:hRule="exact" w:val="614"/>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C48A301"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9 de Enero /Los Álamos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09A26A9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10,4%</w:t>
            </w:r>
          </w:p>
        </w:tc>
        <w:tc>
          <w:tcPr>
            <w:tcW w:w="1324" w:type="dxa"/>
            <w:tcBorders>
              <w:top w:val="nil"/>
              <w:left w:val="nil"/>
              <w:bottom w:val="single" w:sz="4" w:space="0" w:color="auto"/>
              <w:right w:val="single" w:sz="4" w:space="0" w:color="auto"/>
            </w:tcBorders>
            <w:shd w:val="clear" w:color="auto" w:fill="auto"/>
            <w:noWrap/>
            <w:vAlign w:val="bottom"/>
            <w:hideMark/>
          </w:tcPr>
          <w:p w14:paraId="36E07EE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172" w:type="dxa"/>
            <w:tcBorders>
              <w:top w:val="nil"/>
              <w:left w:val="nil"/>
              <w:bottom w:val="single" w:sz="4" w:space="0" w:color="auto"/>
              <w:right w:val="single" w:sz="4" w:space="0" w:color="auto"/>
            </w:tcBorders>
            <w:shd w:val="clear" w:color="auto" w:fill="auto"/>
            <w:noWrap/>
            <w:vAlign w:val="bottom"/>
            <w:hideMark/>
          </w:tcPr>
          <w:p w14:paraId="5D71E99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5,4%</w:t>
            </w:r>
          </w:p>
        </w:tc>
        <w:tc>
          <w:tcPr>
            <w:tcW w:w="1172" w:type="dxa"/>
            <w:tcBorders>
              <w:top w:val="nil"/>
              <w:left w:val="nil"/>
              <w:bottom w:val="single" w:sz="4" w:space="0" w:color="auto"/>
              <w:right w:val="single" w:sz="4" w:space="0" w:color="auto"/>
            </w:tcBorders>
            <w:shd w:val="clear" w:color="auto" w:fill="auto"/>
            <w:noWrap/>
            <w:vAlign w:val="bottom"/>
            <w:hideMark/>
          </w:tcPr>
          <w:p w14:paraId="761A449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172" w:type="dxa"/>
            <w:tcBorders>
              <w:top w:val="nil"/>
              <w:left w:val="nil"/>
              <w:bottom w:val="single" w:sz="4" w:space="0" w:color="auto"/>
              <w:right w:val="single" w:sz="4" w:space="0" w:color="auto"/>
            </w:tcBorders>
            <w:shd w:val="clear" w:color="auto" w:fill="auto"/>
            <w:noWrap/>
            <w:vAlign w:val="bottom"/>
            <w:hideMark/>
          </w:tcPr>
          <w:p w14:paraId="68C6BB7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c>
          <w:tcPr>
            <w:tcW w:w="1685" w:type="dxa"/>
            <w:tcBorders>
              <w:top w:val="nil"/>
              <w:left w:val="nil"/>
              <w:bottom w:val="single" w:sz="4" w:space="0" w:color="auto"/>
              <w:right w:val="single" w:sz="4" w:space="0" w:color="auto"/>
            </w:tcBorders>
            <w:shd w:val="clear" w:color="auto" w:fill="auto"/>
            <w:noWrap/>
            <w:vAlign w:val="bottom"/>
            <w:hideMark/>
          </w:tcPr>
          <w:p w14:paraId="2B13617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r>
      <w:tr w:rsidR="005404F2" w:rsidRPr="00AF1F1F" w14:paraId="50B6F67C"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CEAB5DC"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Barrio Libertad (Cañuelas)</w:t>
            </w:r>
          </w:p>
        </w:tc>
        <w:tc>
          <w:tcPr>
            <w:tcW w:w="1172" w:type="dxa"/>
            <w:tcBorders>
              <w:top w:val="nil"/>
              <w:left w:val="nil"/>
              <w:bottom w:val="single" w:sz="4" w:space="0" w:color="auto"/>
              <w:right w:val="single" w:sz="4" w:space="0" w:color="auto"/>
            </w:tcBorders>
            <w:shd w:val="clear" w:color="auto" w:fill="auto"/>
            <w:noWrap/>
            <w:vAlign w:val="bottom"/>
            <w:hideMark/>
          </w:tcPr>
          <w:p w14:paraId="734F72C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7,8%</w:t>
            </w:r>
          </w:p>
        </w:tc>
        <w:tc>
          <w:tcPr>
            <w:tcW w:w="1324" w:type="dxa"/>
            <w:tcBorders>
              <w:top w:val="nil"/>
              <w:left w:val="nil"/>
              <w:bottom w:val="single" w:sz="4" w:space="0" w:color="auto"/>
              <w:right w:val="single" w:sz="4" w:space="0" w:color="auto"/>
            </w:tcBorders>
            <w:shd w:val="clear" w:color="auto" w:fill="auto"/>
            <w:noWrap/>
            <w:vAlign w:val="bottom"/>
            <w:hideMark/>
          </w:tcPr>
          <w:p w14:paraId="49F2ABB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172" w:type="dxa"/>
            <w:tcBorders>
              <w:top w:val="nil"/>
              <w:left w:val="nil"/>
              <w:bottom w:val="single" w:sz="4" w:space="0" w:color="auto"/>
              <w:right w:val="single" w:sz="4" w:space="0" w:color="auto"/>
            </w:tcBorders>
            <w:shd w:val="clear" w:color="auto" w:fill="auto"/>
            <w:noWrap/>
            <w:vAlign w:val="bottom"/>
            <w:hideMark/>
          </w:tcPr>
          <w:p w14:paraId="7DB31FB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5,2%</w:t>
            </w:r>
          </w:p>
        </w:tc>
        <w:tc>
          <w:tcPr>
            <w:tcW w:w="1172" w:type="dxa"/>
            <w:tcBorders>
              <w:top w:val="nil"/>
              <w:left w:val="nil"/>
              <w:bottom w:val="single" w:sz="4" w:space="0" w:color="auto"/>
              <w:right w:val="single" w:sz="4" w:space="0" w:color="auto"/>
            </w:tcBorders>
            <w:shd w:val="clear" w:color="auto" w:fill="auto"/>
            <w:noWrap/>
            <w:vAlign w:val="bottom"/>
            <w:hideMark/>
          </w:tcPr>
          <w:p w14:paraId="5BD58AB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w:t>
            </w:r>
          </w:p>
        </w:tc>
        <w:tc>
          <w:tcPr>
            <w:tcW w:w="1172" w:type="dxa"/>
            <w:tcBorders>
              <w:top w:val="nil"/>
              <w:left w:val="nil"/>
              <w:bottom w:val="single" w:sz="4" w:space="0" w:color="auto"/>
              <w:right w:val="single" w:sz="4" w:space="0" w:color="auto"/>
            </w:tcBorders>
            <w:shd w:val="clear" w:color="auto" w:fill="auto"/>
            <w:noWrap/>
            <w:vAlign w:val="bottom"/>
            <w:hideMark/>
          </w:tcPr>
          <w:p w14:paraId="2A36C46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c>
          <w:tcPr>
            <w:tcW w:w="1685" w:type="dxa"/>
            <w:tcBorders>
              <w:top w:val="nil"/>
              <w:left w:val="nil"/>
              <w:bottom w:val="single" w:sz="4" w:space="0" w:color="auto"/>
              <w:right w:val="single" w:sz="4" w:space="0" w:color="auto"/>
            </w:tcBorders>
            <w:shd w:val="clear" w:color="auto" w:fill="auto"/>
            <w:noWrap/>
            <w:vAlign w:val="bottom"/>
            <w:hideMark/>
          </w:tcPr>
          <w:p w14:paraId="12187E6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r>
      <w:tr w:rsidR="005404F2" w:rsidRPr="00AF1F1F" w14:paraId="4936310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61AD98D"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Barrio Nuevo (Merlo)</w:t>
            </w:r>
          </w:p>
        </w:tc>
        <w:tc>
          <w:tcPr>
            <w:tcW w:w="1172" w:type="dxa"/>
            <w:tcBorders>
              <w:top w:val="nil"/>
              <w:left w:val="nil"/>
              <w:bottom w:val="single" w:sz="4" w:space="0" w:color="auto"/>
              <w:right w:val="single" w:sz="4" w:space="0" w:color="auto"/>
            </w:tcBorders>
            <w:shd w:val="clear" w:color="auto" w:fill="auto"/>
            <w:noWrap/>
            <w:vAlign w:val="bottom"/>
            <w:hideMark/>
          </w:tcPr>
          <w:p w14:paraId="1F18BC4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8,2%</w:t>
            </w:r>
          </w:p>
        </w:tc>
        <w:tc>
          <w:tcPr>
            <w:tcW w:w="1324" w:type="dxa"/>
            <w:tcBorders>
              <w:top w:val="nil"/>
              <w:left w:val="nil"/>
              <w:bottom w:val="single" w:sz="4" w:space="0" w:color="auto"/>
              <w:right w:val="single" w:sz="4" w:space="0" w:color="auto"/>
            </w:tcBorders>
            <w:shd w:val="clear" w:color="auto" w:fill="auto"/>
            <w:noWrap/>
            <w:vAlign w:val="bottom"/>
            <w:hideMark/>
          </w:tcPr>
          <w:p w14:paraId="12FBE9A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3,0%</w:t>
            </w:r>
          </w:p>
        </w:tc>
        <w:tc>
          <w:tcPr>
            <w:tcW w:w="1172" w:type="dxa"/>
            <w:tcBorders>
              <w:top w:val="nil"/>
              <w:left w:val="nil"/>
              <w:bottom w:val="single" w:sz="4" w:space="0" w:color="auto"/>
              <w:right w:val="single" w:sz="4" w:space="0" w:color="auto"/>
            </w:tcBorders>
            <w:shd w:val="clear" w:color="auto" w:fill="auto"/>
            <w:noWrap/>
            <w:vAlign w:val="bottom"/>
            <w:hideMark/>
          </w:tcPr>
          <w:p w14:paraId="653E864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7,1%</w:t>
            </w:r>
          </w:p>
        </w:tc>
        <w:tc>
          <w:tcPr>
            <w:tcW w:w="1172" w:type="dxa"/>
            <w:tcBorders>
              <w:top w:val="nil"/>
              <w:left w:val="nil"/>
              <w:bottom w:val="single" w:sz="4" w:space="0" w:color="auto"/>
              <w:right w:val="single" w:sz="4" w:space="0" w:color="auto"/>
            </w:tcBorders>
            <w:shd w:val="clear" w:color="auto" w:fill="auto"/>
            <w:noWrap/>
            <w:vAlign w:val="bottom"/>
            <w:hideMark/>
          </w:tcPr>
          <w:p w14:paraId="2AB3166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w:t>
            </w:r>
          </w:p>
        </w:tc>
        <w:tc>
          <w:tcPr>
            <w:tcW w:w="1172" w:type="dxa"/>
            <w:tcBorders>
              <w:top w:val="nil"/>
              <w:left w:val="nil"/>
              <w:bottom w:val="single" w:sz="4" w:space="0" w:color="auto"/>
              <w:right w:val="single" w:sz="4" w:space="0" w:color="auto"/>
            </w:tcBorders>
            <w:shd w:val="clear" w:color="auto" w:fill="auto"/>
            <w:noWrap/>
            <w:vAlign w:val="bottom"/>
            <w:hideMark/>
          </w:tcPr>
          <w:p w14:paraId="336E825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2,3%</w:t>
            </w:r>
          </w:p>
        </w:tc>
        <w:tc>
          <w:tcPr>
            <w:tcW w:w="1685" w:type="dxa"/>
            <w:tcBorders>
              <w:top w:val="nil"/>
              <w:left w:val="nil"/>
              <w:bottom w:val="single" w:sz="4" w:space="0" w:color="auto"/>
              <w:right w:val="single" w:sz="4" w:space="0" w:color="auto"/>
            </w:tcBorders>
            <w:shd w:val="clear" w:color="auto" w:fill="auto"/>
            <w:noWrap/>
            <w:vAlign w:val="bottom"/>
            <w:hideMark/>
          </w:tcPr>
          <w:p w14:paraId="318B548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8,1%</w:t>
            </w:r>
          </w:p>
        </w:tc>
      </w:tr>
      <w:tr w:rsidR="005404F2" w:rsidRPr="00AF1F1F" w14:paraId="27FD76C5"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3F03DB0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Barrio Obrero (CABA)</w:t>
            </w:r>
          </w:p>
        </w:tc>
        <w:tc>
          <w:tcPr>
            <w:tcW w:w="1172" w:type="dxa"/>
            <w:tcBorders>
              <w:top w:val="nil"/>
              <w:left w:val="nil"/>
              <w:bottom w:val="single" w:sz="4" w:space="0" w:color="auto"/>
              <w:right w:val="single" w:sz="4" w:space="0" w:color="auto"/>
            </w:tcBorders>
            <w:shd w:val="clear" w:color="auto" w:fill="auto"/>
            <w:noWrap/>
            <w:vAlign w:val="bottom"/>
            <w:hideMark/>
          </w:tcPr>
          <w:p w14:paraId="11F623D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10,5%</w:t>
            </w:r>
          </w:p>
        </w:tc>
        <w:tc>
          <w:tcPr>
            <w:tcW w:w="1324" w:type="dxa"/>
            <w:tcBorders>
              <w:top w:val="nil"/>
              <w:left w:val="nil"/>
              <w:bottom w:val="single" w:sz="4" w:space="0" w:color="auto"/>
              <w:right w:val="single" w:sz="4" w:space="0" w:color="auto"/>
            </w:tcBorders>
            <w:shd w:val="clear" w:color="auto" w:fill="auto"/>
            <w:noWrap/>
            <w:vAlign w:val="bottom"/>
            <w:hideMark/>
          </w:tcPr>
          <w:p w14:paraId="2ACA8EF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172" w:type="dxa"/>
            <w:tcBorders>
              <w:top w:val="nil"/>
              <w:left w:val="nil"/>
              <w:bottom w:val="single" w:sz="4" w:space="0" w:color="auto"/>
              <w:right w:val="single" w:sz="4" w:space="0" w:color="auto"/>
            </w:tcBorders>
            <w:shd w:val="clear" w:color="auto" w:fill="auto"/>
            <w:noWrap/>
            <w:vAlign w:val="bottom"/>
            <w:hideMark/>
          </w:tcPr>
          <w:p w14:paraId="37DC07C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5,3%</w:t>
            </w:r>
          </w:p>
        </w:tc>
        <w:tc>
          <w:tcPr>
            <w:tcW w:w="1172" w:type="dxa"/>
            <w:tcBorders>
              <w:top w:val="nil"/>
              <w:left w:val="nil"/>
              <w:bottom w:val="single" w:sz="4" w:space="0" w:color="auto"/>
              <w:right w:val="single" w:sz="4" w:space="0" w:color="auto"/>
            </w:tcBorders>
            <w:shd w:val="clear" w:color="auto" w:fill="auto"/>
            <w:noWrap/>
            <w:vAlign w:val="bottom"/>
            <w:hideMark/>
          </w:tcPr>
          <w:p w14:paraId="0F2339E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172" w:type="dxa"/>
            <w:tcBorders>
              <w:top w:val="nil"/>
              <w:left w:val="nil"/>
              <w:bottom w:val="single" w:sz="4" w:space="0" w:color="auto"/>
              <w:right w:val="single" w:sz="4" w:space="0" w:color="auto"/>
            </w:tcBorders>
            <w:shd w:val="clear" w:color="auto" w:fill="auto"/>
            <w:noWrap/>
            <w:vAlign w:val="bottom"/>
            <w:hideMark/>
          </w:tcPr>
          <w:p w14:paraId="5571403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685" w:type="dxa"/>
            <w:tcBorders>
              <w:top w:val="nil"/>
              <w:left w:val="nil"/>
              <w:bottom w:val="single" w:sz="4" w:space="0" w:color="auto"/>
              <w:right w:val="single" w:sz="4" w:space="0" w:color="auto"/>
            </w:tcBorders>
            <w:shd w:val="clear" w:color="auto" w:fill="auto"/>
            <w:noWrap/>
            <w:vAlign w:val="bottom"/>
            <w:hideMark/>
          </w:tcPr>
          <w:p w14:paraId="74BA3E8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r>
      <w:tr w:rsidR="005404F2" w:rsidRPr="00AF1F1F" w14:paraId="31F0DEEE"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41C2202F"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Bermejo (CABA)</w:t>
            </w:r>
          </w:p>
        </w:tc>
        <w:tc>
          <w:tcPr>
            <w:tcW w:w="1172" w:type="dxa"/>
            <w:tcBorders>
              <w:top w:val="nil"/>
              <w:left w:val="nil"/>
              <w:bottom w:val="single" w:sz="4" w:space="0" w:color="auto"/>
              <w:right w:val="single" w:sz="4" w:space="0" w:color="auto"/>
            </w:tcBorders>
            <w:shd w:val="clear" w:color="auto" w:fill="auto"/>
            <w:noWrap/>
            <w:vAlign w:val="bottom"/>
            <w:hideMark/>
          </w:tcPr>
          <w:p w14:paraId="4F5982E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11,6%</w:t>
            </w:r>
          </w:p>
        </w:tc>
        <w:tc>
          <w:tcPr>
            <w:tcW w:w="1324" w:type="dxa"/>
            <w:tcBorders>
              <w:top w:val="nil"/>
              <w:left w:val="nil"/>
              <w:bottom w:val="single" w:sz="4" w:space="0" w:color="auto"/>
              <w:right w:val="single" w:sz="4" w:space="0" w:color="auto"/>
            </w:tcBorders>
            <w:shd w:val="clear" w:color="auto" w:fill="auto"/>
            <w:noWrap/>
            <w:vAlign w:val="bottom"/>
            <w:hideMark/>
          </w:tcPr>
          <w:p w14:paraId="37FF3A2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9,3%</w:t>
            </w:r>
          </w:p>
        </w:tc>
        <w:tc>
          <w:tcPr>
            <w:tcW w:w="1172" w:type="dxa"/>
            <w:tcBorders>
              <w:top w:val="nil"/>
              <w:left w:val="nil"/>
              <w:bottom w:val="single" w:sz="4" w:space="0" w:color="auto"/>
              <w:right w:val="single" w:sz="4" w:space="0" w:color="auto"/>
            </w:tcBorders>
            <w:shd w:val="clear" w:color="auto" w:fill="auto"/>
            <w:noWrap/>
            <w:vAlign w:val="bottom"/>
            <w:hideMark/>
          </w:tcPr>
          <w:p w14:paraId="55677F8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16,3%</w:t>
            </w:r>
          </w:p>
        </w:tc>
        <w:tc>
          <w:tcPr>
            <w:tcW w:w="1172" w:type="dxa"/>
            <w:tcBorders>
              <w:top w:val="nil"/>
              <w:left w:val="nil"/>
              <w:bottom w:val="single" w:sz="4" w:space="0" w:color="auto"/>
              <w:right w:val="single" w:sz="4" w:space="0" w:color="auto"/>
            </w:tcBorders>
            <w:shd w:val="clear" w:color="auto" w:fill="auto"/>
            <w:noWrap/>
            <w:vAlign w:val="bottom"/>
            <w:hideMark/>
          </w:tcPr>
          <w:p w14:paraId="7E952EB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7,6%</w:t>
            </w:r>
          </w:p>
        </w:tc>
        <w:tc>
          <w:tcPr>
            <w:tcW w:w="1172" w:type="dxa"/>
            <w:tcBorders>
              <w:top w:val="nil"/>
              <w:left w:val="nil"/>
              <w:bottom w:val="single" w:sz="4" w:space="0" w:color="auto"/>
              <w:right w:val="single" w:sz="4" w:space="0" w:color="auto"/>
            </w:tcBorders>
            <w:shd w:val="clear" w:color="auto" w:fill="auto"/>
            <w:noWrap/>
            <w:vAlign w:val="bottom"/>
            <w:hideMark/>
          </w:tcPr>
          <w:p w14:paraId="3C2D40C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685" w:type="dxa"/>
            <w:tcBorders>
              <w:top w:val="nil"/>
              <w:left w:val="nil"/>
              <w:bottom w:val="single" w:sz="4" w:space="0" w:color="auto"/>
              <w:right w:val="single" w:sz="4" w:space="0" w:color="auto"/>
            </w:tcBorders>
            <w:shd w:val="clear" w:color="auto" w:fill="auto"/>
            <w:noWrap/>
            <w:vAlign w:val="bottom"/>
            <w:hideMark/>
          </w:tcPr>
          <w:p w14:paraId="2F1ACB2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7,6%</w:t>
            </w:r>
          </w:p>
        </w:tc>
      </w:tr>
      <w:tr w:rsidR="005404F2" w:rsidRPr="00AF1F1F" w14:paraId="2C53EB7C"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00A50DAE"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El Ombú (Cañuelas)</w:t>
            </w:r>
          </w:p>
        </w:tc>
        <w:tc>
          <w:tcPr>
            <w:tcW w:w="1172" w:type="dxa"/>
            <w:tcBorders>
              <w:top w:val="nil"/>
              <w:left w:val="nil"/>
              <w:bottom w:val="single" w:sz="4" w:space="0" w:color="auto"/>
              <w:right w:val="single" w:sz="4" w:space="0" w:color="auto"/>
            </w:tcBorders>
            <w:shd w:val="clear" w:color="auto" w:fill="auto"/>
            <w:noWrap/>
            <w:vAlign w:val="bottom"/>
            <w:hideMark/>
          </w:tcPr>
          <w:p w14:paraId="570A8F0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6,5%</w:t>
            </w:r>
          </w:p>
        </w:tc>
        <w:tc>
          <w:tcPr>
            <w:tcW w:w="1324" w:type="dxa"/>
            <w:tcBorders>
              <w:top w:val="nil"/>
              <w:left w:val="nil"/>
              <w:bottom w:val="single" w:sz="4" w:space="0" w:color="auto"/>
              <w:right w:val="single" w:sz="4" w:space="0" w:color="auto"/>
            </w:tcBorders>
            <w:shd w:val="clear" w:color="auto" w:fill="auto"/>
            <w:noWrap/>
            <w:vAlign w:val="bottom"/>
            <w:hideMark/>
          </w:tcPr>
          <w:p w14:paraId="4B1E9A1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c>
          <w:tcPr>
            <w:tcW w:w="1172" w:type="dxa"/>
            <w:tcBorders>
              <w:top w:val="nil"/>
              <w:left w:val="nil"/>
              <w:bottom w:val="single" w:sz="4" w:space="0" w:color="auto"/>
              <w:right w:val="single" w:sz="4" w:space="0" w:color="auto"/>
            </w:tcBorders>
            <w:shd w:val="clear" w:color="auto" w:fill="auto"/>
            <w:noWrap/>
            <w:vAlign w:val="bottom"/>
            <w:hideMark/>
          </w:tcPr>
          <w:p w14:paraId="700A951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7,3%</w:t>
            </w:r>
          </w:p>
        </w:tc>
        <w:tc>
          <w:tcPr>
            <w:tcW w:w="1172" w:type="dxa"/>
            <w:tcBorders>
              <w:top w:val="nil"/>
              <w:left w:val="nil"/>
              <w:bottom w:val="single" w:sz="4" w:space="0" w:color="auto"/>
              <w:right w:val="single" w:sz="4" w:space="0" w:color="auto"/>
            </w:tcBorders>
            <w:shd w:val="clear" w:color="auto" w:fill="auto"/>
            <w:noWrap/>
            <w:vAlign w:val="bottom"/>
            <w:hideMark/>
          </w:tcPr>
          <w:p w14:paraId="61073FD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5,3%</w:t>
            </w:r>
          </w:p>
        </w:tc>
        <w:tc>
          <w:tcPr>
            <w:tcW w:w="1172" w:type="dxa"/>
            <w:tcBorders>
              <w:top w:val="nil"/>
              <w:left w:val="nil"/>
              <w:bottom w:val="single" w:sz="4" w:space="0" w:color="auto"/>
              <w:right w:val="single" w:sz="4" w:space="0" w:color="auto"/>
            </w:tcBorders>
            <w:shd w:val="clear" w:color="auto" w:fill="auto"/>
            <w:noWrap/>
            <w:vAlign w:val="bottom"/>
            <w:hideMark/>
          </w:tcPr>
          <w:p w14:paraId="6E281D7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8,1%</w:t>
            </w:r>
          </w:p>
        </w:tc>
        <w:tc>
          <w:tcPr>
            <w:tcW w:w="1685" w:type="dxa"/>
            <w:tcBorders>
              <w:top w:val="nil"/>
              <w:left w:val="nil"/>
              <w:bottom w:val="single" w:sz="4" w:space="0" w:color="auto"/>
              <w:right w:val="single" w:sz="4" w:space="0" w:color="auto"/>
            </w:tcBorders>
            <w:shd w:val="clear" w:color="auto" w:fill="auto"/>
            <w:noWrap/>
            <w:vAlign w:val="bottom"/>
            <w:hideMark/>
          </w:tcPr>
          <w:p w14:paraId="13FEAD8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4,0%</w:t>
            </w:r>
          </w:p>
        </w:tc>
      </w:tr>
      <w:tr w:rsidR="005404F2" w:rsidRPr="00AF1F1F" w14:paraId="257F5607"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A7DCCEA"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El Parque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372AF0D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9,7%</w:t>
            </w:r>
          </w:p>
        </w:tc>
        <w:tc>
          <w:tcPr>
            <w:tcW w:w="1324" w:type="dxa"/>
            <w:tcBorders>
              <w:top w:val="nil"/>
              <w:left w:val="nil"/>
              <w:bottom w:val="single" w:sz="4" w:space="0" w:color="auto"/>
              <w:right w:val="single" w:sz="4" w:space="0" w:color="auto"/>
            </w:tcBorders>
            <w:shd w:val="clear" w:color="auto" w:fill="auto"/>
            <w:noWrap/>
            <w:vAlign w:val="bottom"/>
            <w:hideMark/>
          </w:tcPr>
          <w:p w14:paraId="05656A8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c>
          <w:tcPr>
            <w:tcW w:w="1172" w:type="dxa"/>
            <w:tcBorders>
              <w:top w:val="nil"/>
              <w:left w:val="nil"/>
              <w:bottom w:val="single" w:sz="4" w:space="0" w:color="auto"/>
              <w:right w:val="single" w:sz="4" w:space="0" w:color="auto"/>
            </w:tcBorders>
            <w:shd w:val="clear" w:color="auto" w:fill="auto"/>
            <w:noWrap/>
            <w:vAlign w:val="bottom"/>
            <w:hideMark/>
          </w:tcPr>
          <w:p w14:paraId="1EB4866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172" w:type="dxa"/>
            <w:tcBorders>
              <w:top w:val="nil"/>
              <w:left w:val="nil"/>
              <w:bottom w:val="single" w:sz="4" w:space="0" w:color="auto"/>
              <w:right w:val="single" w:sz="4" w:space="0" w:color="auto"/>
            </w:tcBorders>
            <w:shd w:val="clear" w:color="auto" w:fill="auto"/>
            <w:noWrap/>
            <w:vAlign w:val="bottom"/>
            <w:hideMark/>
          </w:tcPr>
          <w:p w14:paraId="0E94CA3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172" w:type="dxa"/>
            <w:tcBorders>
              <w:top w:val="nil"/>
              <w:left w:val="nil"/>
              <w:bottom w:val="single" w:sz="4" w:space="0" w:color="auto"/>
              <w:right w:val="single" w:sz="4" w:space="0" w:color="auto"/>
            </w:tcBorders>
            <w:shd w:val="clear" w:color="auto" w:fill="auto"/>
            <w:noWrap/>
            <w:vAlign w:val="bottom"/>
            <w:hideMark/>
          </w:tcPr>
          <w:p w14:paraId="7D1EDE5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w:t>
            </w:r>
          </w:p>
        </w:tc>
        <w:tc>
          <w:tcPr>
            <w:tcW w:w="1685" w:type="dxa"/>
            <w:tcBorders>
              <w:top w:val="nil"/>
              <w:left w:val="nil"/>
              <w:bottom w:val="single" w:sz="4" w:space="0" w:color="auto"/>
              <w:right w:val="single" w:sz="4" w:space="0" w:color="auto"/>
            </w:tcBorders>
            <w:shd w:val="clear" w:color="auto" w:fill="auto"/>
            <w:noWrap/>
            <w:vAlign w:val="bottom"/>
            <w:hideMark/>
          </w:tcPr>
          <w:p w14:paraId="2445D16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2,8%</w:t>
            </w:r>
          </w:p>
        </w:tc>
      </w:tr>
      <w:tr w:rsidR="005404F2" w:rsidRPr="00AF1F1F" w14:paraId="6A2F01FE"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1141CD1"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Galponeros (CABA)</w:t>
            </w:r>
          </w:p>
        </w:tc>
        <w:tc>
          <w:tcPr>
            <w:tcW w:w="1172" w:type="dxa"/>
            <w:tcBorders>
              <w:top w:val="nil"/>
              <w:left w:val="nil"/>
              <w:bottom w:val="single" w:sz="4" w:space="0" w:color="auto"/>
              <w:right w:val="single" w:sz="4" w:space="0" w:color="auto"/>
            </w:tcBorders>
            <w:shd w:val="clear" w:color="auto" w:fill="auto"/>
            <w:noWrap/>
            <w:vAlign w:val="bottom"/>
            <w:hideMark/>
          </w:tcPr>
          <w:p w14:paraId="1BA2425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6,6%</w:t>
            </w:r>
          </w:p>
        </w:tc>
        <w:tc>
          <w:tcPr>
            <w:tcW w:w="1324" w:type="dxa"/>
            <w:tcBorders>
              <w:top w:val="nil"/>
              <w:left w:val="nil"/>
              <w:bottom w:val="single" w:sz="4" w:space="0" w:color="auto"/>
              <w:right w:val="single" w:sz="4" w:space="0" w:color="auto"/>
            </w:tcBorders>
            <w:shd w:val="clear" w:color="auto" w:fill="auto"/>
            <w:noWrap/>
            <w:vAlign w:val="bottom"/>
            <w:hideMark/>
          </w:tcPr>
          <w:p w14:paraId="3AD7B0D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172" w:type="dxa"/>
            <w:tcBorders>
              <w:top w:val="nil"/>
              <w:left w:val="nil"/>
              <w:bottom w:val="single" w:sz="4" w:space="0" w:color="auto"/>
              <w:right w:val="single" w:sz="4" w:space="0" w:color="auto"/>
            </w:tcBorders>
            <w:shd w:val="clear" w:color="auto" w:fill="auto"/>
            <w:noWrap/>
            <w:vAlign w:val="bottom"/>
            <w:hideMark/>
          </w:tcPr>
          <w:p w14:paraId="7FA8DD0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18,0%</w:t>
            </w:r>
          </w:p>
        </w:tc>
        <w:tc>
          <w:tcPr>
            <w:tcW w:w="1172" w:type="dxa"/>
            <w:tcBorders>
              <w:top w:val="nil"/>
              <w:left w:val="nil"/>
              <w:bottom w:val="single" w:sz="4" w:space="0" w:color="auto"/>
              <w:right w:val="single" w:sz="4" w:space="0" w:color="auto"/>
            </w:tcBorders>
            <w:shd w:val="clear" w:color="auto" w:fill="auto"/>
            <w:noWrap/>
            <w:vAlign w:val="bottom"/>
            <w:hideMark/>
          </w:tcPr>
          <w:p w14:paraId="0C34787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172" w:type="dxa"/>
            <w:tcBorders>
              <w:top w:val="nil"/>
              <w:left w:val="nil"/>
              <w:bottom w:val="single" w:sz="4" w:space="0" w:color="auto"/>
              <w:right w:val="single" w:sz="4" w:space="0" w:color="auto"/>
            </w:tcBorders>
            <w:shd w:val="clear" w:color="auto" w:fill="auto"/>
            <w:noWrap/>
            <w:vAlign w:val="bottom"/>
            <w:hideMark/>
          </w:tcPr>
          <w:p w14:paraId="53FD365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c>
          <w:tcPr>
            <w:tcW w:w="1685" w:type="dxa"/>
            <w:tcBorders>
              <w:top w:val="nil"/>
              <w:left w:val="nil"/>
              <w:bottom w:val="single" w:sz="4" w:space="0" w:color="auto"/>
              <w:right w:val="single" w:sz="4" w:space="0" w:color="auto"/>
            </w:tcBorders>
            <w:shd w:val="clear" w:color="auto" w:fill="auto"/>
            <w:noWrap/>
            <w:vAlign w:val="bottom"/>
            <w:hideMark/>
          </w:tcPr>
          <w:p w14:paraId="341A25F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9,8%</w:t>
            </w:r>
          </w:p>
        </w:tc>
      </w:tr>
      <w:tr w:rsidR="005404F2" w:rsidRPr="00AF1F1F" w14:paraId="5BFAF8DD"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86C4CE2"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Guemes</w:t>
            </w:r>
            <w:proofErr w:type="spellEnd"/>
            <w:r w:rsidRPr="00AF1F1F">
              <w:rPr>
                <w:rFonts w:eastAsia="Times New Roman" w:cs="Times New Roman"/>
                <w:color w:val="000000"/>
                <w:sz w:val="20"/>
                <w:szCs w:val="20"/>
              </w:rPr>
              <w:t xml:space="preserve"> (Ezeiza)</w:t>
            </w:r>
          </w:p>
        </w:tc>
        <w:tc>
          <w:tcPr>
            <w:tcW w:w="1172" w:type="dxa"/>
            <w:tcBorders>
              <w:top w:val="nil"/>
              <w:left w:val="nil"/>
              <w:bottom w:val="single" w:sz="4" w:space="0" w:color="auto"/>
              <w:right w:val="single" w:sz="4" w:space="0" w:color="auto"/>
            </w:tcBorders>
            <w:shd w:val="clear" w:color="auto" w:fill="auto"/>
            <w:noWrap/>
            <w:vAlign w:val="bottom"/>
            <w:hideMark/>
          </w:tcPr>
          <w:p w14:paraId="5DCE4B3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11,3%</w:t>
            </w:r>
          </w:p>
        </w:tc>
        <w:tc>
          <w:tcPr>
            <w:tcW w:w="1324" w:type="dxa"/>
            <w:tcBorders>
              <w:top w:val="nil"/>
              <w:left w:val="nil"/>
              <w:bottom w:val="single" w:sz="4" w:space="0" w:color="auto"/>
              <w:right w:val="single" w:sz="4" w:space="0" w:color="auto"/>
            </w:tcBorders>
            <w:shd w:val="clear" w:color="auto" w:fill="auto"/>
            <w:noWrap/>
            <w:vAlign w:val="bottom"/>
            <w:hideMark/>
          </w:tcPr>
          <w:p w14:paraId="4E29A53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4,7%</w:t>
            </w:r>
          </w:p>
        </w:tc>
        <w:tc>
          <w:tcPr>
            <w:tcW w:w="1172" w:type="dxa"/>
            <w:tcBorders>
              <w:top w:val="nil"/>
              <w:left w:val="nil"/>
              <w:bottom w:val="single" w:sz="4" w:space="0" w:color="auto"/>
              <w:right w:val="single" w:sz="4" w:space="0" w:color="auto"/>
            </w:tcBorders>
            <w:shd w:val="clear" w:color="auto" w:fill="auto"/>
            <w:noWrap/>
            <w:vAlign w:val="bottom"/>
            <w:hideMark/>
          </w:tcPr>
          <w:p w14:paraId="2EB466C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5,5%</w:t>
            </w:r>
          </w:p>
        </w:tc>
        <w:tc>
          <w:tcPr>
            <w:tcW w:w="1172" w:type="dxa"/>
            <w:tcBorders>
              <w:top w:val="nil"/>
              <w:left w:val="nil"/>
              <w:bottom w:val="single" w:sz="4" w:space="0" w:color="auto"/>
              <w:right w:val="single" w:sz="4" w:space="0" w:color="auto"/>
            </w:tcBorders>
            <w:shd w:val="clear" w:color="auto" w:fill="auto"/>
            <w:noWrap/>
            <w:vAlign w:val="bottom"/>
            <w:hideMark/>
          </w:tcPr>
          <w:p w14:paraId="59D7CFC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2,6%</w:t>
            </w:r>
          </w:p>
        </w:tc>
        <w:tc>
          <w:tcPr>
            <w:tcW w:w="1172" w:type="dxa"/>
            <w:tcBorders>
              <w:top w:val="nil"/>
              <w:left w:val="nil"/>
              <w:bottom w:val="single" w:sz="4" w:space="0" w:color="auto"/>
              <w:right w:val="single" w:sz="4" w:space="0" w:color="auto"/>
            </w:tcBorders>
            <w:shd w:val="clear" w:color="auto" w:fill="auto"/>
            <w:noWrap/>
            <w:vAlign w:val="bottom"/>
            <w:hideMark/>
          </w:tcPr>
          <w:p w14:paraId="474B36A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w:t>
            </w:r>
          </w:p>
        </w:tc>
        <w:tc>
          <w:tcPr>
            <w:tcW w:w="1685" w:type="dxa"/>
            <w:tcBorders>
              <w:top w:val="nil"/>
              <w:left w:val="nil"/>
              <w:bottom w:val="single" w:sz="4" w:space="0" w:color="auto"/>
              <w:right w:val="single" w:sz="4" w:space="0" w:color="auto"/>
            </w:tcBorders>
            <w:shd w:val="clear" w:color="auto" w:fill="auto"/>
            <w:noWrap/>
            <w:vAlign w:val="bottom"/>
            <w:hideMark/>
          </w:tcPr>
          <w:p w14:paraId="2B7C55F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3,8%</w:t>
            </w:r>
          </w:p>
        </w:tc>
      </w:tr>
      <w:tr w:rsidR="005404F2" w:rsidRPr="00AF1F1F" w14:paraId="53E87D2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462A1418"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Isla Maciel (Avellaneda)</w:t>
            </w:r>
          </w:p>
        </w:tc>
        <w:tc>
          <w:tcPr>
            <w:tcW w:w="1172" w:type="dxa"/>
            <w:tcBorders>
              <w:top w:val="nil"/>
              <w:left w:val="nil"/>
              <w:bottom w:val="single" w:sz="4" w:space="0" w:color="auto"/>
              <w:right w:val="single" w:sz="4" w:space="0" w:color="auto"/>
            </w:tcBorders>
            <w:shd w:val="clear" w:color="auto" w:fill="auto"/>
            <w:noWrap/>
            <w:vAlign w:val="bottom"/>
            <w:hideMark/>
          </w:tcPr>
          <w:p w14:paraId="5751C67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8,4%</w:t>
            </w:r>
          </w:p>
        </w:tc>
        <w:tc>
          <w:tcPr>
            <w:tcW w:w="1324" w:type="dxa"/>
            <w:tcBorders>
              <w:top w:val="nil"/>
              <w:left w:val="nil"/>
              <w:bottom w:val="single" w:sz="4" w:space="0" w:color="auto"/>
              <w:right w:val="single" w:sz="4" w:space="0" w:color="auto"/>
            </w:tcBorders>
            <w:shd w:val="clear" w:color="auto" w:fill="auto"/>
            <w:noWrap/>
            <w:vAlign w:val="bottom"/>
            <w:hideMark/>
          </w:tcPr>
          <w:p w14:paraId="7736C23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172" w:type="dxa"/>
            <w:tcBorders>
              <w:top w:val="nil"/>
              <w:left w:val="nil"/>
              <w:bottom w:val="single" w:sz="4" w:space="0" w:color="auto"/>
              <w:right w:val="single" w:sz="4" w:space="0" w:color="auto"/>
            </w:tcBorders>
            <w:shd w:val="clear" w:color="auto" w:fill="auto"/>
            <w:noWrap/>
            <w:vAlign w:val="bottom"/>
            <w:hideMark/>
          </w:tcPr>
          <w:p w14:paraId="0AC526F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11,2%</w:t>
            </w:r>
          </w:p>
        </w:tc>
        <w:tc>
          <w:tcPr>
            <w:tcW w:w="1172" w:type="dxa"/>
            <w:tcBorders>
              <w:top w:val="nil"/>
              <w:left w:val="nil"/>
              <w:bottom w:val="single" w:sz="4" w:space="0" w:color="auto"/>
              <w:right w:val="single" w:sz="4" w:space="0" w:color="auto"/>
            </w:tcBorders>
            <w:shd w:val="clear" w:color="auto" w:fill="auto"/>
            <w:noWrap/>
            <w:vAlign w:val="bottom"/>
            <w:hideMark/>
          </w:tcPr>
          <w:p w14:paraId="4874EF7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3,3%</w:t>
            </w:r>
          </w:p>
        </w:tc>
        <w:tc>
          <w:tcPr>
            <w:tcW w:w="1172" w:type="dxa"/>
            <w:tcBorders>
              <w:top w:val="nil"/>
              <w:left w:val="nil"/>
              <w:bottom w:val="single" w:sz="4" w:space="0" w:color="auto"/>
              <w:right w:val="single" w:sz="4" w:space="0" w:color="auto"/>
            </w:tcBorders>
            <w:shd w:val="clear" w:color="auto" w:fill="auto"/>
            <w:noWrap/>
            <w:vAlign w:val="bottom"/>
            <w:hideMark/>
          </w:tcPr>
          <w:p w14:paraId="49131C8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5,6%</w:t>
            </w:r>
          </w:p>
        </w:tc>
        <w:tc>
          <w:tcPr>
            <w:tcW w:w="1685" w:type="dxa"/>
            <w:tcBorders>
              <w:top w:val="nil"/>
              <w:left w:val="nil"/>
              <w:bottom w:val="single" w:sz="4" w:space="0" w:color="auto"/>
              <w:right w:val="single" w:sz="4" w:space="0" w:color="auto"/>
            </w:tcBorders>
            <w:shd w:val="clear" w:color="auto" w:fill="auto"/>
            <w:noWrap/>
            <w:vAlign w:val="bottom"/>
            <w:hideMark/>
          </w:tcPr>
          <w:p w14:paraId="7D3ACD7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8,3%</w:t>
            </w:r>
          </w:p>
        </w:tc>
      </w:tr>
      <w:tr w:rsidR="005404F2" w:rsidRPr="00AF1F1F" w14:paraId="0C21F8BF"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916535B"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Lonja (Lomas de Zamora)</w:t>
            </w:r>
          </w:p>
        </w:tc>
        <w:tc>
          <w:tcPr>
            <w:tcW w:w="1172" w:type="dxa"/>
            <w:tcBorders>
              <w:top w:val="nil"/>
              <w:left w:val="nil"/>
              <w:bottom w:val="single" w:sz="4" w:space="0" w:color="auto"/>
              <w:right w:val="single" w:sz="4" w:space="0" w:color="auto"/>
            </w:tcBorders>
            <w:shd w:val="clear" w:color="auto" w:fill="auto"/>
            <w:noWrap/>
            <w:vAlign w:val="bottom"/>
            <w:hideMark/>
          </w:tcPr>
          <w:p w14:paraId="08888C2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15,8%</w:t>
            </w:r>
          </w:p>
        </w:tc>
        <w:tc>
          <w:tcPr>
            <w:tcW w:w="1324" w:type="dxa"/>
            <w:tcBorders>
              <w:top w:val="nil"/>
              <w:left w:val="nil"/>
              <w:bottom w:val="single" w:sz="4" w:space="0" w:color="auto"/>
              <w:right w:val="single" w:sz="4" w:space="0" w:color="auto"/>
            </w:tcBorders>
            <w:shd w:val="clear" w:color="auto" w:fill="auto"/>
            <w:noWrap/>
            <w:vAlign w:val="bottom"/>
            <w:hideMark/>
          </w:tcPr>
          <w:p w14:paraId="7975493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7,4%</w:t>
            </w:r>
          </w:p>
        </w:tc>
        <w:tc>
          <w:tcPr>
            <w:tcW w:w="1172" w:type="dxa"/>
            <w:tcBorders>
              <w:top w:val="nil"/>
              <w:left w:val="nil"/>
              <w:bottom w:val="single" w:sz="4" w:space="0" w:color="auto"/>
              <w:right w:val="single" w:sz="4" w:space="0" w:color="auto"/>
            </w:tcBorders>
            <w:shd w:val="clear" w:color="auto" w:fill="auto"/>
            <w:noWrap/>
            <w:vAlign w:val="bottom"/>
            <w:hideMark/>
          </w:tcPr>
          <w:p w14:paraId="2386EB1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13,7%</w:t>
            </w:r>
          </w:p>
        </w:tc>
        <w:tc>
          <w:tcPr>
            <w:tcW w:w="1172" w:type="dxa"/>
            <w:tcBorders>
              <w:top w:val="nil"/>
              <w:left w:val="nil"/>
              <w:bottom w:val="single" w:sz="4" w:space="0" w:color="auto"/>
              <w:right w:val="single" w:sz="4" w:space="0" w:color="auto"/>
            </w:tcBorders>
            <w:shd w:val="clear" w:color="auto" w:fill="auto"/>
            <w:noWrap/>
            <w:vAlign w:val="bottom"/>
            <w:hideMark/>
          </w:tcPr>
          <w:p w14:paraId="09F6CED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5,3%</w:t>
            </w:r>
          </w:p>
        </w:tc>
        <w:tc>
          <w:tcPr>
            <w:tcW w:w="1172" w:type="dxa"/>
            <w:tcBorders>
              <w:top w:val="nil"/>
              <w:left w:val="nil"/>
              <w:bottom w:val="single" w:sz="4" w:space="0" w:color="auto"/>
              <w:right w:val="single" w:sz="4" w:space="0" w:color="auto"/>
            </w:tcBorders>
            <w:shd w:val="clear" w:color="auto" w:fill="auto"/>
            <w:noWrap/>
            <w:vAlign w:val="bottom"/>
            <w:hideMark/>
          </w:tcPr>
          <w:p w14:paraId="5C68F78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7,9%</w:t>
            </w:r>
          </w:p>
        </w:tc>
        <w:tc>
          <w:tcPr>
            <w:tcW w:w="1685" w:type="dxa"/>
            <w:tcBorders>
              <w:top w:val="nil"/>
              <w:left w:val="nil"/>
              <w:bottom w:val="single" w:sz="4" w:space="0" w:color="auto"/>
              <w:right w:val="single" w:sz="4" w:space="0" w:color="auto"/>
            </w:tcBorders>
            <w:shd w:val="clear" w:color="auto" w:fill="auto"/>
            <w:noWrap/>
            <w:vAlign w:val="bottom"/>
            <w:hideMark/>
          </w:tcPr>
          <w:p w14:paraId="41EBBF9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13,2%</w:t>
            </w:r>
          </w:p>
        </w:tc>
      </w:tr>
      <w:tr w:rsidR="005404F2" w:rsidRPr="00AF1F1F" w14:paraId="1E4D2E34"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0E5078A7"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Porteña II (Ezeiza)</w:t>
            </w:r>
          </w:p>
        </w:tc>
        <w:tc>
          <w:tcPr>
            <w:tcW w:w="1172" w:type="dxa"/>
            <w:tcBorders>
              <w:top w:val="nil"/>
              <w:left w:val="nil"/>
              <w:bottom w:val="single" w:sz="4" w:space="0" w:color="auto"/>
              <w:right w:val="single" w:sz="4" w:space="0" w:color="auto"/>
            </w:tcBorders>
            <w:shd w:val="clear" w:color="auto" w:fill="auto"/>
            <w:noWrap/>
            <w:vAlign w:val="bottom"/>
            <w:hideMark/>
          </w:tcPr>
          <w:p w14:paraId="40315A2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7,3%</w:t>
            </w:r>
          </w:p>
        </w:tc>
        <w:tc>
          <w:tcPr>
            <w:tcW w:w="1324" w:type="dxa"/>
            <w:tcBorders>
              <w:top w:val="nil"/>
              <w:left w:val="nil"/>
              <w:bottom w:val="single" w:sz="4" w:space="0" w:color="auto"/>
              <w:right w:val="single" w:sz="4" w:space="0" w:color="auto"/>
            </w:tcBorders>
            <w:shd w:val="clear" w:color="auto" w:fill="auto"/>
            <w:noWrap/>
            <w:vAlign w:val="bottom"/>
            <w:hideMark/>
          </w:tcPr>
          <w:p w14:paraId="405CB94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172" w:type="dxa"/>
            <w:tcBorders>
              <w:top w:val="nil"/>
              <w:left w:val="nil"/>
              <w:bottom w:val="single" w:sz="4" w:space="0" w:color="auto"/>
              <w:right w:val="single" w:sz="4" w:space="0" w:color="auto"/>
            </w:tcBorders>
            <w:shd w:val="clear" w:color="auto" w:fill="auto"/>
            <w:noWrap/>
            <w:vAlign w:val="bottom"/>
            <w:hideMark/>
          </w:tcPr>
          <w:p w14:paraId="403C9F3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7,0%</w:t>
            </w:r>
          </w:p>
        </w:tc>
        <w:tc>
          <w:tcPr>
            <w:tcW w:w="1172" w:type="dxa"/>
            <w:tcBorders>
              <w:top w:val="nil"/>
              <w:left w:val="nil"/>
              <w:bottom w:val="single" w:sz="4" w:space="0" w:color="auto"/>
              <w:right w:val="single" w:sz="4" w:space="0" w:color="auto"/>
            </w:tcBorders>
            <w:shd w:val="clear" w:color="auto" w:fill="auto"/>
            <w:noWrap/>
            <w:vAlign w:val="bottom"/>
            <w:hideMark/>
          </w:tcPr>
          <w:p w14:paraId="70B5440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3,1%</w:t>
            </w:r>
          </w:p>
        </w:tc>
        <w:tc>
          <w:tcPr>
            <w:tcW w:w="1172" w:type="dxa"/>
            <w:tcBorders>
              <w:top w:val="nil"/>
              <w:left w:val="nil"/>
              <w:bottom w:val="single" w:sz="4" w:space="0" w:color="auto"/>
              <w:right w:val="single" w:sz="4" w:space="0" w:color="auto"/>
            </w:tcBorders>
            <w:shd w:val="clear" w:color="auto" w:fill="auto"/>
            <w:noWrap/>
            <w:vAlign w:val="bottom"/>
            <w:hideMark/>
          </w:tcPr>
          <w:p w14:paraId="74FF466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w:t>
            </w:r>
          </w:p>
        </w:tc>
        <w:tc>
          <w:tcPr>
            <w:tcW w:w="1685" w:type="dxa"/>
            <w:tcBorders>
              <w:top w:val="nil"/>
              <w:left w:val="nil"/>
              <w:bottom w:val="single" w:sz="4" w:space="0" w:color="auto"/>
              <w:right w:val="single" w:sz="4" w:space="0" w:color="auto"/>
            </w:tcBorders>
            <w:shd w:val="clear" w:color="auto" w:fill="auto"/>
            <w:noWrap/>
            <w:vAlign w:val="bottom"/>
            <w:hideMark/>
          </w:tcPr>
          <w:p w14:paraId="003C246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9,4%</w:t>
            </w:r>
          </w:p>
        </w:tc>
      </w:tr>
      <w:tr w:rsidR="005404F2" w:rsidRPr="00AF1F1F" w14:paraId="39007F8D"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1F24FDF"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a Toma (Merlo)</w:t>
            </w:r>
          </w:p>
        </w:tc>
        <w:tc>
          <w:tcPr>
            <w:tcW w:w="1172" w:type="dxa"/>
            <w:tcBorders>
              <w:top w:val="nil"/>
              <w:left w:val="nil"/>
              <w:bottom w:val="single" w:sz="4" w:space="0" w:color="auto"/>
              <w:right w:val="single" w:sz="4" w:space="0" w:color="auto"/>
            </w:tcBorders>
            <w:shd w:val="clear" w:color="auto" w:fill="auto"/>
            <w:noWrap/>
            <w:vAlign w:val="bottom"/>
            <w:hideMark/>
          </w:tcPr>
          <w:p w14:paraId="17EECAB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13,7%</w:t>
            </w:r>
          </w:p>
        </w:tc>
        <w:tc>
          <w:tcPr>
            <w:tcW w:w="1324" w:type="dxa"/>
            <w:tcBorders>
              <w:top w:val="nil"/>
              <w:left w:val="nil"/>
              <w:bottom w:val="single" w:sz="4" w:space="0" w:color="auto"/>
              <w:right w:val="single" w:sz="4" w:space="0" w:color="auto"/>
            </w:tcBorders>
            <w:shd w:val="clear" w:color="auto" w:fill="auto"/>
            <w:noWrap/>
            <w:vAlign w:val="bottom"/>
            <w:hideMark/>
          </w:tcPr>
          <w:p w14:paraId="3EE4C5B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6,3%</w:t>
            </w:r>
          </w:p>
        </w:tc>
        <w:tc>
          <w:tcPr>
            <w:tcW w:w="1172" w:type="dxa"/>
            <w:tcBorders>
              <w:top w:val="nil"/>
              <w:left w:val="nil"/>
              <w:bottom w:val="single" w:sz="4" w:space="0" w:color="auto"/>
              <w:right w:val="single" w:sz="4" w:space="0" w:color="auto"/>
            </w:tcBorders>
            <w:shd w:val="clear" w:color="auto" w:fill="auto"/>
            <w:noWrap/>
            <w:vAlign w:val="bottom"/>
            <w:hideMark/>
          </w:tcPr>
          <w:p w14:paraId="698216D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11,7%</w:t>
            </w:r>
          </w:p>
        </w:tc>
        <w:tc>
          <w:tcPr>
            <w:tcW w:w="1172" w:type="dxa"/>
            <w:tcBorders>
              <w:top w:val="nil"/>
              <w:left w:val="nil"/>
              <w:bottom w:val="single" w:sz="4" w:space="0" w:color="auto"/>
              <w:right w:val="single" w:sz="4" w:space="0" w:color="auto"/>
            </w:tcBorders>
            <w:shd w:val="clear" w:color="auto" w:fill="auto"/>
            <w:noWrap/>
            <w:vAlign w:val="bottom"/>
            <w:hideMark/>
          </w:tcPr>
          <w:p w14:paraId="3EB3C8C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2,9%</w:t>
            </w:r>
          </w:p>
        </w:tc>
        <w:tc>
          <w:tcPr>
            <w:tcW w:w="1172" w:type="dxa"/>
            <w:tcBorders>
              <w:top w:val="nil"/>
              <w:left w:val="nil"/>
              <w:bottom w:val="single" w:sz="4" w:space="0" w:color="auto"/>
              <w:right w:val="single" w:sz="4" w:space="0" w:color="auto"/>
            </w:tcBorders>
            <w:shd w:val="clear" w:color="auto" w:fill="auto"/>
            <w:noWrap/>
            <w:vAlign w:val="bottom"/>
            <w:hideMark/>
          </w:tcPr>
          <w:p w14:paraId="122AE98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4,1%</w:t>
            </w:r>
          </w:p>
        </w:tc>
        <w:tc>
          <w:tcPr>
            <w:tcW w:w="1685" w:type="dxa"/>
            <w:tcBorders>
              <w:top w:val="nil"/>
              <w:left w:val="nil"/>
              <w:bottom w:val="single" w:sz="4" w:space="0" w:color="auto"/>
              <w:right w:val="single" w:sz="4" w:space="0" w:color="auto"/>
            </w:tcBorders>
            <w:shd w:val="clear" w:color="auto" w:fill="auto"/>
            <w:noWrap/>
            <w:vAlign w:val="bottom"/>
            <w:hideMark/>
          </w:tcPr>
          <w:p w14:paraId="134E2C2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10,8%</w:t>
            </w:r>
          </w:p>
        </w:tc>
      </w:tr>
      <w:tr w:rsidR="005404F2" w:rsidRPr="00AF1F1F" w14:paraId="54705576"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632A2494"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 Unión II (Cañuelas)</w:t>
            </w:r>
          </w:p>
        </w:tc>
        <w:tc>
          <w:tcPr>
            <w:tcW w:w="1172" w:type="dxa"/>
            <w:tcBorders>
              <w:top w:val="nil"/>
              <w:left w:val="nil"/>
              <w:bottom w:val="single" w:sz="4" w:space="0" w:color="auto"/>
              <w:right w:val="single" w:sz="4" w:space="0" w:color="auto"/>
            </w:tcBorders>
            <w:shd w:val="clear" w:color="auto" w:fill="auto"/>
            <w:noWrap/>
            <w:vAlign w:val="bottom"/>
            <w:hideMark/>
          </w:tcPr>
          <w:p w14:paraId="62CA323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324" w:type="dxa"/>
            <w:tcBorders>
              <w:top w:val="nil"/>
              <w:left w:val="nil"/>
              <w:bottom w:val="single" w:sz="4" w:space="0" w:color="auto"/>
              <w:right w:val="single" w:sz="4" w:space="0" w:color="auto"/>
            </w:tcBorders>
            <w:shd w:val="clear" w:color="auto" w:fill="auto"/>
            <w:noWrap/>
            <w:vAlign w:val="bottom"/>
            <w:hideMark/>
          </w:tcPr>
          <w:p w14:paraId="01F5F3E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2,5%</w:t>
            </w:r>
          </w:p>
        </w:tc>
        <w:tc>
          <w:tcPr>
            <w:tcW w:w="1172" w:type="dxa"/>
            <w:tcBorders>
              <w:top w:val="nil"/>
              <w:left w:val="nil"/>
              <w:bottom w:val="single" w:sz="4" w:space="0" w:color="auto"/>
              <w:right w:val="single" w:sz="4" w:space="0" w:color="auto"/>
            </w:tcBorders>
            <w:shd w:val="clear" w:color="auto" w:fill="auto"/>
            <w:noWrap/>
            <w:vAlign w:val="bottom"/>
            <w:hideMark/>
          </w:tcPr>
          <w:p w14:paraId="539B938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172" w:type="dxa"/>
            <w:tcBorders>
              <w:top w:val="nil"/>
              <w:left w:val="nil"/>
              <w:bottom w:val="single" w:sz="4" w:space="0" w:color="auto"/>
              <w:right w:val="single" w:sz="4" w:space="0" w:color="auto"/>
            </w:tcBorders>
            <w:shd w:val="clear" w:color="auto" w:fill="auto"/>
            <w:noWrap/>
            <w:vAlign w:val="bottom"/>
            <w:hideMark/>
          </w:tcPr>
          <w:p w14:paraId="12787AD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172" w:type="dxa"/>
            <w:tcBorders>
              <w:top w:val="nil"/>
              <w:left w:val="nil"/>
              <w:bottom w:val="single" w:sz="4" w:space="0" w:color="auto"/>
              <w:right w:val="single" w:sz="4" w:space="0" w:color="auto"/>
            </w:tcBorders>
            <w:shd w:val="clear" w:color="auto" w:fill="auto"/>
            <w:noWrap/>
            <w:vAlign w:val="bottom"/>
            <w:hideMark/>
          </w:tcPr>
          <w:p w14:paraId="330E5DA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1685" w:type="dxa"/>
            <w:tcBorders>
              <w:top w:val="nil"/>
              <w:left w:val="nil"/>
              <w:bottom w:val="single" w:sz="4" w:space="0" w:color="auto"/>
              <w:right w:val="single" w:sz="4" w:space="0" w:color="auto"/>
            </w:tcBorders>
            <w:shd w:val="clear" w:color="auto" w:fill="auto"/>
            <w:noWrap/>
            <w:vAlign w:val="bottom"/>
            <w:hideMark/>
          </w:tcPr>
          <w:p w14:paraId="492CBD8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w:t>
            </w:r>
          </w:p>
        </w:tc>
      </w:tr>
      <w:tr w:rsidR="005404F2" w:rsidRPr="00AF1F1F" w14:paraId="3ECE70F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48B732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Laguna Brava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24CD462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9,7%</w:t>
            </w:r>
          </w:p>
        </w:tc>
        <w:tc>
          <w:tcPr>
            <w:tcW w:w="1324" w:type="dxa"/>
            <w:tcBorders>
              <w:top w:val="nil"/>
              <w:left w:val="nil"/>
              <w:bottom w:val="single" w:sz="4" w:space="0" w:color="auto"/>
              <w:right w:val="single" w:sz="4" w:space="0" w:color="auto"/>
            </w:tcBorders>
            <w:shd w:val="clear" w:color="auto" w:fill="auto"/>
            <w:noWrap/>
            <w:vAlign w:val="bottom"/>
            <w:hideMark/>
          </w:tcPr>
          <w:p w14:paraId="72084B3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8,3%</w:t>
            </w:r>
          </w:p>
        </w:tc>
        <w:tc>
          <w:tcPr>
            <w:tcW w:w="1172" w:type="dxa"/>
            <w:tcBorders>
              <w:top w:val="nil"/>
              <w:left w:val="nil"/>
              <w:bottom w:val="single" w:sz="4" w:space="0" w:color="auto"/>
              <w:right w:val="single" w:sz="4" w:space="0" w:color="auto"/>
            </w:tcBorders>
            <w:shd w:val="clear" w:color="auto" w:fill="auto"/>
            <w:noWrap/>
            <w:vAlign w:val="bottom"/>
            <w:hideMark/>
          </w:tcPr>
          <w:p w14:paraId="433A2DA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16,7%</w:t>
            </w:r>
          </w:p>
        </w:tc>
        <w:tc>
          <w:tcPr>
            <w:tcW w:w="1172" w:type="dxa"/>
            <w:tcBorders>
              <w:top w:val="nil"/>
              <w:left w:val="nil"/>
              <w:bottom w:val="single" w:sz="4" w:space="0" w:color="auto"/>
              <w:right w:val="single" w:sz="4" w:space="0" w:color="auto"/>
            </w:tcBorders>
            <w:shd w:val="clear" w:color="auto" w:fill="auto"/>
            <w:noWrap/>
            <w:vAlign w:val="bottom"/>
            <w:hideMark/>
          </w:tcPr>
          <w:p w14:paraId="29F76F1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8,3%</w:t>
            </w:r>
          </w:p>
        </w:tc>
        <w:tc>
          <w:tcPr>
            <w:tcW w:w="1172" w:type="dxa"/>
            <w:tcBorders>
              <w:top w:val="nil"/>
              <w:left w:val="nil"/>
              <w:bottom w:val="single" w:sz="4" w:space="0" w:color="auto"/>
              <w:right w:val="single" w:sz="4" w:space="0" w:color="auto"/>
            </w:tcBorders>
            <w:shd w:val="clear" w:color="auto" w:fill="auto"/>
            <w:noWrap/>
            <w:vAlign w:val="bottom"/>
            <w:hideMark/>
          </w:tcPr>
          <w:p w14:paraId="146E6B8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w:t>
            </w:r>
          </w:p>
        </w:tc>
        <w:tc>
          <w:tcPr>
            <w:tcW w:w="1685" w:type="dxa"/>
            <w:tcBorders>
              <w:top w:val="nil"/>
              <w:left w:val="nil"/>
              <w:bottom w:val="single" w:sz="4" w:space="0" w:color="auto"/>
              <w:right w:val="single" w:sz="4" w:space="0" w:color="auto"/>
            </w:tcBorders>
            <w:shd w:val="clear" w:color="auto" w:fill="auto"/>
            <w:noWrap/>
            <w:vAlign w:val="bottom"/>
            <w:hideMark/>
          </w:tcPr>
          <w:p w14:paraId="6B1FD22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6,9%</w:t>
            </w:r>
          </w:p>
        </w:tc>
      </w:tr>
      <w:tr w:rsidR="005404F2" w:rsidRPr="00AF1F1F" w14:paraId="235F2C1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0D0C086"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Las Flores (Merlo)</w:t>
            </w:r>
          </w:p>
        </w:tc>
        <w:tc>
          <w:tcPr>
            <w:tcW w:w="1172" w:type="dxa"/>
            <w:tcBorders>
              <w:top w:val="nil"/>
              <w:left w:val="nil"/>
              <w:bottom w:val="single" w:sz="4" w:space="0" w:color="auto"/>
              <w:right w:val="single" w:sz="4" w:space="0" w:color="auto"/>
            </w:tcBorders>
            <w:shd w:val="clear" w:color="auto" w:fill="auto"/>
            <w:noWrap/>
            <w:vAlign w:val="bottom"/>
            <w:hideMark/>
          </w:tcPr>
          <w:p w14:paraId="337693C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9,9%</w:t>
            </w:r>
          </w:p>
        </w:tc>
        <w:tc>
          <w:tcPr>
            <w:tcW w:w="1324" w:type="dxa"/>
            <w:tcBorders>
              <w:top w:val="nil"/>
              <w:left w:val="nil"/>
              <w:bottom w:val="single" w:sz="4" w:space="0" w:color="auto"/>
              <w:right w:val="single" w:sz="4" w:space="0" w:color="auto"/>
            </w:tcBorders>
            <w:shd w:val="clear" w:color="auto" w:fill="auto"/>
            <w:noWrap/>
            <w:vAlign w:val="bottom"/>
            <w:hideMark/>
          </w:tcPr>
          <w:p w14:paraId="670FC42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3,7%</w:t>
            </w:r>
          </w:p>
        </w:tc>
        <w:tc>
          <w:tcPr>
            <w:tcW w:w="1172" w:type="dxa"/>
            <w:tcBorders>
              <w:top w:val="nil"/>
              <w:left w:val="nil"/>
              <w:bottom w:val="single" w:sz="4" w:space="0" w:color="auto"/>
              <w:right w:val="single" w:sz="4" w:space="0" w:color="auto"/>
            </w:tcBorders>
            <w:shd w:val="clear" w:color="auto" w:fill="auto"/>
            <w:noWrap/>
            <w:vAlign w:val="bottom"/>
            <w:hideMark/>
          </w:tcPr>
          <w:p w14:paraId="62E5195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5,8%</w:t>
            </w:r>
          </w:p>
        </w:tc>
        <w:tc>
          <w:tcPr>
            <w:tcW w:w="1172" w:type="dxa"/>
            <w:tcBorders>
              <w:top w:val="nil"/>
              <w:left w:val="nil"/>
              <w:bottom w:val="single" w:sz="4" w:space="0" w:color="auto"/>
              <w:right w:val="single" w:sz="4" w:space="0" w:color="auto"/>
            </w:tcBorders>
            <w:shd w:val="clear" w:color="auto" w:fill="auto"/>
            <w:noWrap/>
            <w:vAlign w:val="bottom"/>
            <w:hideMark/>
          </w:tcPr>
          <w:p w14:paraId="0A09B3D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172" w:type="dxa"/>
            <w:tcBorders>
              <w:top w:val="nil"/>
              <w:left w:val="nil"/>
              <w:bottom w:val="single" w:sz="4" w:space="0" w:color="auto"/>
              <w:right w:val="single" w:sz="4" w:space="0" w:color="auto"/>
            </w:tcBorders>
            <w:shd w:val="clear" w:color="auto" w:fill="auto"/>
            <w:noWrap/>
            <w:vAlign w:val="bottom"/>
            <w:hideMark/>
          </w:tcPr>
          <w:p w14:paraId="3143F58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685" w:type="dxa"/>
            <w:tcBorders>
              <w:top w:val="nil"/>
              <w:left w:val="nil"/>
              <w:bottom w:val="single" w:sz="4" w:space="0" w:color="auto"/>
              <w:right w:val="single" w:sz="4" w:space="0" w:color="auto"/>
            </w:tcBorders>
            <w:shd w:val="clear" w:color="auto" w:fill="auto"/>
            <w:noWrap/>
            <w:vAlign w:val="bottom"/>
            <w:hideMark/>
          </w:tcPr>
          <w:p w14:paraId="172FE48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11,0%</w:t>
            </w:r>
          </w:p>
        </w:tc>
      </w:tr>
      <w:tr w:rsidR="005404F2" w:rsidRPr="00AF1F1F" w14:paraId="734D1B35"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52B63C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Las Torres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3C9F483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9,4%</w:t>
            </w:r>
          </w:p>
        </w:tc>
        <w:tc>
          <w:tcPr>
            <w:tcW w:w="1324" w:type="dxa"/>
            <w:tcBorders>
              <w:top w:val="nil"/>
              <w:left w:val="nil"/>
              <w:bottom w:val="single" w:sz="4" w:space="0" w:color="auto"/>
              <w:right w:val="single" w:sz="4" w:space="0" w:color="auto"/>
            </w:tcBorders>
            <w:shd w:val="clear" w:color="auto" w:fill="auto"/>
            <w:noWrap/>
            <w:vAlign w:val="bottom"/>
            <w:hideMark/>
          </w:tcPr>
          <w:p w14:paraId="45A35DE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4,1%</w:t>
            </w:r>
          </w:p>
        </w:tc>
        <w:tc>
          <w:tcPr>
            <w:tcW w:w="1172" w:type="dxa"/>
            <w:tcBorders>
              <w:top w:val="nil"/>
              <w:left w:val="nil"/>
              <w:bottom w:val="single" w:sz="4" w:space="0" w:color="auto"/>
              <w:right w:val="single" w:sz="4" w:space="0" w:color="auto"/>
            </w:tcBorders>
            <w:shd w:val="clear" w:color="auto" w:fill="auto"/>
            <w:noWrap/>
            <w:vAlign w:val="bottom"/>
            <w:hideMark/>
          </w:tcPr>
          <w:p w14:paraId="2755FF3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14,4%</w:t>
            </w:r>
          </w:p>
        </w:tc>
        <w:tc>
          <w:tcPr>
            <w:tcW w:w="1172" w:type="dxa"/>
            <w:tcBorders>
              <w:top w:val="nil"/>
              <w:left w:val="nil"/>
              <w:bottom w:val="single" w:sz="4" w:space="0" w:color="auto"/>
              <w:right w:val="single" w:sz="4" w:space="0" w:color="auto"/>
            </w:tcBorders>
            <w:shd w:val="clear" w:color="auto" w:fill="auto"/>
            <w:noWrap/>
            <w:vAlign w:val="bottom"/>
            <w:hideMark/>
          </w:tcPr>
          <w:p w14:paraId="292BF54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6,6%</w:t>
            </w:r>
          </w:p>
        </w:tc>
        <w:tc>
          <w:tcPr>
            <w:tcW w:w="1172" w:type="dxa"/>
            <w:tcBorders>
              <w:top w:val="nil"/>
              <w:left w:val="nil"/>
              <w:bottom w:val="single" w:sz="4" w:space="0" w:color="auto"/>
              <w:right w:val="single" w:sz="4" w:space="0" w:color="auto"/>
            </w:tcBorders>
            <w:shd w:val="clear" w:color="auto" w:fill="auto"/>
            <w:noWrap/>
            <w:vAlign w:val="bottom"/>
            <w:hideMark/>
          </w:tcPr>
          <w:p w14:paraId="166EB0D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2,3%</w:t>
            </w:r>
          </w:p>
        </w:tc>
        <w:tc>
          <w:tcPr>
            <w:tcW w:w="1685" w:type="dxa"/>
            <w:tcBorders>
              <w:top w:val="nil"/>
              <w:left w:val="nil"/>
              <w:bottom w:val="single" w:sz="4" w:space="0" w:color="auto"/>
              <w:right w:val="single" w:sz="4" w:space="0" w:color="auto"/>
            </w:tcBorders>
            <w:shd w:val="clear" w:color="auto" w:fill="auto"/>
            <w:noWrap/>
            <w:vAlign w:val="bottom"/>
            <w:hideMark/>
          </w:tcPr>
          <w:p w14:paraId="2F83EDF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6,9%</w:t>
            </w:r>
          </w:p>
        </w:tc>
      </w:tr>
      <w:tr w:rsidR="005404F2" w:rsidRPr="00AF1F1F" w14:paraId="152CFC72"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019B178"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Libertad (Cañuelas)</w:t>
            </w:r>
          </w:p>
        </w:tc>
        <w:tc>
          <w:tcPr>
            <w:tcW w:w="1172" w:type="dxa"/>
            <w:tcBorders>
              <w:top w:val="nil"/>
              <w:left w:val="nil"/>
              <w:bottom w:val="single" w:sz="4" w:space="0" w:color="auto"/>
              <w:right w:val="single" w:sz="4" w:space="0" w:color="auto"/>
            </w:tcBorders>
            <w:shd w:val="clear" w:color="auto" w:fill="auto"/>
            <w:noWrap/>
            <w:vAlign w:val="bottom"/>
            <w:hideMark/>
          </w:tcPr>
          <w:p w14:paraId="24BA341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8,6%</w:t>
            </w:r>
          </w:p>
        </w:tc>
        <w:tc>
          <w:tcPr>
            <w:tcW w:w="1324" w:type="dxa"/>
            <w:tcBorders>
              <w:top w:val="nil"/>
              <w:left w:val="nil"/>
              <w:bottom w:val="single" w:sz="4" w:space="0" w:color="auto"/>
              <w:right w:val="single" w:sz="4" w:space="0" w:color="auto"/>
            </w:tcBorders>
            <w:shd w:val="clear" w:color="auto" w:fill="auto"/>
            <w:noWrap/>
            <w:vAlign w:val="bottom"/>
            <w:hideMark/>
          </w:tcPr>
          <w:p w14:paraId="166E2F8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172" w:type="dxa"/>
            <w:tcBorders>
              <w:top w:val="nil"/>
              <w:left w:val="nil"/>
              <w:bottom w:val="single" w:sz="4" w:space="0" w:color="auto"/>
              <w:right w:val="single" w:sz="4" w:space="0" w:color="auto"/>
            </w:tcBorders>
            <w:shd w:val="clear" w:color="auto" w:fill="auto"/>
            <w:noWrap/>
            <w:vAlign w:val="bottom"/>
            <w:hideMark/>
          </w:tcPr>
          <w:p w14:paraId="1C23071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172" w:type="dxa"/>
            <w:tcBorders>
              <w:top w:val="nil"/>
              <w:left w:val="nil"/>
              <w:bottom w:val="single" w:sz="4" w:space="0" w:color="auto"/>
              <w:right w:val="single" w:sz="4" w:space="0" w:color="auto"/>
            </w:tcBorders>
            <w:shd w:val="clear" w:color="auto" w:fill="auto"/>
            <w:noWrap/>
            <w:vAlign w:val="bottom"/>
            <w:hideMark/>
          </w:tcPr>
          <w:p w14:paraId="06D3F98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w:t>
            </w:r>
          </w:p>
        </w:tc>
        <w:tc>
          <w:tcPr>
            <w:tcW w:w="1172" w:type="dxa"/>
            <w:tcBorders>
              <w:top w:val="nil"/>
              <w:left w:val="nil"/>
              <w:bottom w:val="single" w:sz="4" w:space="0" w:color="auto"/>
              <w:right w:val="single" w:sz="4" w:space="0" w:color="auto"/>
            </w:tcBorders>
            <w:shd w:val="clear" w:color="auto" w:fill="auto"/>
            <w:noWrap/>
            <w:vAlign w:val="bottom"/>
            <w:hideMark/>
          </w:tcPr>
          <w:p w14:paraId="0D17EF9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685" w:type="dxa"/>
            <w:tcBorders>
              <w:top w:val="nil"/>
              <w:left w:val="nil"/>
              <w:bottom w:val="single" w:sz="4" w:space="0" w:color="auto"/>
              <w:right w:val="single" w:sz="4" w:space="0" w:color="auto"/>
            </w:tcBorders>
            <w:shd w:val="clear" w:color="auto" w:fill="auto"/>
            <w:noWrap/>
            <w:vAlign w:val="bottom"/>
            <w:hideMark/>
          </w:tcPr>
          <w:p w14:paraId="6A4FDF0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6,8%</w:t>
            </w:r>
          </w:p>
        </w:tc>
      </w:tr>
      <w:tr w:rsidR="005404F2" w:rsidRPr="00AF1F1F" w14:paraId="28C87EE3"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9DD6B84"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 xml:space="preserve">Los </w:t>
            </w:r>
            <w:proofErr w:type="spellStart"/>
            <w:r w:rsidRPr="00AF1F1F">
              <w:rPr>
                <w:rFonts w:eastAsia="Times New Roman" w:cs="Times New Roman"/>
                <w:color w:val="000000"/>
                <w:sz w:val="20"/>
                <w:szCs w:val="20"/>
              </w:rPr>
              <w:t>Piletones</w:t>
            </w:r>
            <w:proofErr w:type="spellEnd"/>
            <w:r w:rsidRPr="00AF1F1F">
              <w:rPr>
                <w:rFonts w:eastAsia="Times New Roman" w:cs="Times New Roman"/>
                <w:color w:val="000000"/>
                <w:sz w:val="20"/>
                <w:szCs w:val="20"/>
              </w:rPr>
              <w:t xml:space="preserve">  (CABA)</w:t>
            </w:r>
          </w:p>
        </w:tc>
        <w:tc>
          <w:tcPr>
            <w:tcW w:w="1172" w:type="dxa"/>
            <w:tcBorders>
              <w:top w:val="nil"/>
              <w:left w:val="nil"/>
              <w:bottom w:val="single" w:sz="4" w:space="0" w:color="auto"/>
              <w:right w:val="single" w:sz="4" w:space="0" w:color="auto"/>
            </w:tcBorders>
            <w:shd w:val="clear" w:color="auto" w:fill="auto"/>
            <w:noWrap/>
            <w:vAlign w:val="bottom"/>
            <w:hideMark/>
          </w:tcPr>
          <w:p w14:paraId="3E72997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324" w:type="dxa"/>
            <w:tcBorders>
              <w:top w:val="nil"/>
              <w:left w:val="nil"/>
              <w:bottom w:val="single" w:sz="4" w:space="0" w:color="auto"/>
              <w:right w:val="single" w:sz="4" w:space="0" w:color="auto"/>
            </w:tcBorders>
            <w:shd w:val="clear" w:color="auto" w:fill="auto"/>
            <w:noWrap/>
            <w:vAlign w:val="bottom"/>
            <w:hideMark/>
          </w:tcPr>
          <w:p w14:paraId="4D7572D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172" w:type="dxa"/>
            <w:tcBorders>
              <w:top w:val="nil"/>
              <w:left w:val="nil"/>
              <w:bottom w:val="single" w:sz="4" w:space="0" w:color="auto"/>
              <w:right w:val="single" w:sz="4" w:space="0" w:color="auto"/>
            </w:tcBorders>
            <w:shd w:val="clear" w:color="auto" w:fill="auto"/>
            <w:noWrap/>
            <w:vAlign w:val="bottom"/>
            <w:hideMark/>
          </w:tcPr>
          <w:p w14:paraId="2DC4A14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172" w:type="dxa"/>
            <w:tcBorders>
              <w:top w:val="nil"/>
              <w:left w:val="nil"/>
              <w:bottom w:val="single" w:sz="4" w:space="0" w:color="auto"/>
              <w:right w:val="single" w:sz="4" w:space="0" w:color="auto"/>
            </w:tcBorders>
            <w:shd w:val="clear" w:color="auto" w:fill="auto"/>
            <w:noWrap/>
            <w:vAlign w:val="bottom"/>
            <w:hideMark/>
          </w:tcPr>
          <w:p w14:paraId="6B6C6A4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0,7%</w:t>
            </w:r>
          </w:p>
        </w:tc>
        <w:tc>
          <w:tcPr>
            <w:tcW w:w="1172" w:type="dxa"/>
            <w:tcBorders>
              <w:top w:val="nil"/>
              <w:left w:val="nil"/>
              <w:bottom w:val="single" w:sz="4" w:space="0" w:color="auto"/>
              <w:right w:val="single" w:sz="4" w:space="0" w:color="auto"/>
            </w:tcBorders>
            <w:shd w:val="clear" w:color="auto" w:fill="auto"/>
            <w:noWrap/>
            <w:vAlign w:val="bottom"/>
            <w:hideMark/>
          </w:tcPr>
          <w:p w14:paraId="3935E9D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0,6%</w:t>
            </w:r>
          </w:p>
        </w:tc>
        <w:tc>
          <w:tcPr>
            <w:tcW w:w="1685" w:type="dxa"/>
            <w:tcBorders>
              <w:top w:val="nil"/>
              <w:left w:val="nil"/>
              <w:bottom w:val="single" w:sz="4" w:space="0" w:color="auto"/>
              <w:right w:val="single" w:sz="4" w:space="0" w:color="auto"/>
            </w:tcBorders>
            <w:shd w:val="clear" w:color="auto" w:fill="auto"/>
            <w:noWrap/>
            <w:vAlign w:val="bottom"/>
            <w:hideMark/>
          </w:tcPr>
          <w:p w14:paraId="6458412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r>
      <w:tr w:rsidR="005404F2" w:rsidRPr="00AF1F1F" w14:paraId="22E294DE"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EB89EC3"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 xml:space="preserve">Los </w:t>
            </w:r>
            <w:proofErr w:type="spellStart"/>
            <w:r w:rsidRPr="00AF1F1F">
              <w:rPr>
                <w:rFonts w:eastAsia="Times New Roman" w:cs="Times New Roman"/>
                <w:color w:val="000000"/>
                <w:sz w:val="20"/>
                <w:szCs w:val="20"/>
              </w:rPr>
              <w:t>Piletones</w:t>
            </w:r>
            <w:proofErr w:type="spellEnd"/>
            <w:r w:rsidRPr="00AF1F1F">
              <w:rPr>
                <w:rFonts w:eastAsia="Times New Roman" w:cs="Times New Roman"/>
                <w:color w:val="000000"/>
                <w:sz w:val="20"/>
                <w:szCs w:val="20"/>
              </w:rPr>
              <w:t xml:space="preserve"> II (CABA)</w:t>
            </w:r>
          </w:p>
        </w:tc>
        <w:tc>
          <w:tcPr>
            <w:tcW w:w="1172" w:type="dxa"/>
            <w:tcBorders>
              <w:top w:val="nil"/>
              <w:left w:val="nil"/>
              <w:bottom w:val="single" w:sz="4" w:space="0" w:color="auto"/>
              <w:right w:val="single" w:sz="4" w:space="0" w:color="auto"/>
            </w:tcBorders>
            <w:shd w:val="clear" w:color="auto" w:fill="auto"/>
            <w:noWrap/>
            <w:vAlign w:val="bottom"/>
            <w:hideMark/>
          </w:tcPr>
          <w:p w14:paraId="7BAF5F9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6,6%</w:t>
            </w:r>
          </w:p>
        </w:tc>
        <w:tc>
          <w:tcPr>
            <w:tcW w:w="1324" w:type="dxa"/>
            <w:tcBorders>
              <w:top w:val="nil"/>
              <w:left w:val="nil"/>
              <w:bottom w:val="single" w:sz="4" w:space="0" w:color="auto"/>
              <w:right w:val="single" w:sz="4" w:space="0" w:color="auto"/>
            </w:tcBorders>
            <w:shd w:val="clear" w:color="auto" w:fill="auto"/>
            <w:noWrap/>
            <w:vAlign w:val="bottom"/>
            <w:hideMark/>
          </w:tcPr>
          <w:p w14:paraId="11F2883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172" w:type="dxa"/>
            <w:tcBorders>
              <w:top w:val="nil"/>
              <w:left w:val="nil"/>
              <w:bottom w:val="single" w:sz="4" w:space="0" w:color="auto"/>
              <w:right w:val="single" w:sz="4" w:space="0" w:color="auto"/>
            </w:tcBorders>
            <w:shd w:val="clear" w:color="auto" w:fill="auto"/>
            <w:noWrap/>
            <w:vAlign w:val="bottom"/>
            <w:hideMark/>
          </w:tcPr>
          <w:p w14:paraId="2060323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6,3%</w:t>
            </w:r>
          </w:p>
        </w:tc>
        <w:tc>
          <w:tcPr>
            <w:tcW w:w="1172" w:type="dxa"/>
            <w:tcBorders>
              <w:top w:val="nil"/>
              <w:left w:val="nil"/>
              <w:bottom w:val="single" w:sz="4" w:space="0" w:color="auto"/>
              <w:right w:val="single" w:sz="4" w:space="0" w:color="auto"/>
            </w:tcBorders>
            <w:shd w:val="clear" w:color="auto" w:fill="auto"/>
            <w:noWrap/>
            <w:vAlign w:val="bottom"/>
            <w:hideMark/>
          </w:tcPr>
          <w:p w14:paraId="257272F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w:t>
            </w:r>
          </w:p>
        </w:tc>
        <w:tc>
          <w:tcPr>
            <w:tcW w:w="1172" w:type="dxa"/>
            <w:tcBorders>
              <w:top w:val="nil"/>
              <w:left w:val="nil"/>
              <w:bottom w:val="single" w:sz="4" w:space="0" w:color="auto"/>
              <w:right w:val="single" w:sz="4" w:space="0" w:color="auto"/>
            </w:tcBorders>
            <w:shd w:val="clear" w:color="auto" w:fill="auto"/>
            <w:noWrap/>
            <w:vAlign w:val="bottom"/>
            <w:hideMark/>
          </w:tcPr>
          <w:p w14:paraId="32B06C0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1,4%</w:t>
            </w:r>
          </w:p>
        </w:tc>
        <w:tc>
          <w:tcPr>
            <w:tcW w:w="1685" w:type="dxa"/>
            <w:tcBorders>
              <w:top w:val="nil"/>
              <w:left w:val="nil"/>
              <w:bottom w:val="single" w:sz="4" w:space="0" w:color="auto"/>
              <w:right w:val="single" w:sz="4" w:space="0" w:color="auto"/>
            </w:tcBorders>
            <w:shd w:val="clear" w:color="auto" w:fill="auto"/>
            <w:noWrap/>
            <w:vAlign w:val="bottom"/>
            <w:hideMark/>
          </w:tcPr>
          <w:p w14:paraId="352D38A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7,5%</w:t>
            </w:r>
          </w:p>
        </w:tc>
      </w:tr>
      <w:tr w:rsidR="005404F2" w:rsidRPr="00AF1F1F" w14:paraId="7DD55B81"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6975BF58"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Luján (Ezeiza)</w:t>
            </w:r>
          </w:p>
        </w:tc>
        <w:tc>
          <w:tcPr>
            <w:tcW w:w="1172" w:type="dxa"/>
            <w:tcBorders>
              <w:top w:val="nil"/>
              <w:left w:val="nil"/>
              <w:bottom w:val="single" w:sz="4" w:space="0" w:color="auto"/>
              <w:right w:val="single" w:sz="4" w:space="0" w:color="auto"/>
            </w:tcBorders>
            <w:shd w:val="clear" w:color="auto" w:fill="auto"/>
            <w:noWrap/>
            <w:vAlign w:val="bottom"/>
            <w:hideMark/>
          </w:tcPr>
          <w:p w14:paraId="653A83B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9,3%</w:t>
            </w:r>
          </w:p>
        </w:tc>
        <w:tc>
          <w:tcPr>
            <w:tcW w:w="1324" w:type="dxa"/>
            <w:tcBorders>
              <w:top w:val="nil"/>
              <w:left w:val="nil"/>
              <w:bottom w:val="single" w:sz="4" w:space="0" w:color="auto"/>
              <w:right w:val="single" w:sz="4" w:space="0" w:color="auto"/>
            </w:tcBorders>
            <w:shd w:val="clear" w:color="auto" w:fill="auto"/>
            <w:noWrap/>
            <w:vAlign w:val="bottom"/>
            <w:hideMark/>
          </w:tcPr>
          <w:p w14:paraId="10DCAB4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172" w:type="dxa"/>
            <w:tcBorders>
              <w:top w:val="nil"/>
              <w:left w:val="nil"/>
              <w:bottom w:val="single" w:sz="4" w:space="0" w:color="auto"/>
              <w:right w:val="single" w:sz="4" w:space="0" w:color="auto"/>
            </w:tcBorders>
            <w:shd w:val="clear" w:color="auto" w:fill="auto"/>
            <w:noWrap/>
            <w:vAlign w:val="bottom"/>
            <w:hideMark/>
          </w:tcPr>
          <w:p w14:paraId="7CA460F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9,5%</w:t>
            </w:r>
          </w:p>
        </w:tc>
        <w:tc>
          <w:tcPr>
            <w:tcW w:w="1172" w:type="dxa"/>
            <w:tcBorders>
              <w:top w:val="nil"/>
              <w:left w:val="nil"/>
              <w:bottom w:val="single" w:sz="4" w:space="0" w:color="auto"/>
              <w:right w:val="single" w:sz="4" w:space="0" w:color="auto"/>
            </w:tcBorders>
            <w:shd w:val="clear" w:color="auto" w:fill="auto"/>
            <w:noWrap/>
            <w:vAlign w:val="bottom"/>
            <w:hideMark/>
          </w:tcPr>
          <w:p w14:paraId="4927F1B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172" w:type="dxa"/>
            <w:tcBorders>
              <w:top w:val="nil"/>
              <w:left w:val="nil"/>
              <w:bottom w:val="single" w:sz="4" w:space="0" w:color="auto"/>
              <w:right w:val="single" w:sz="4" w:space="0" w:color="auto"/>
            </w:tcBorders>
            <w:shd w:val="clear" w:color="auto" w:fill="auto"/>
            <w:noWrap/>
            <w:vAlign w:val="bottom"/>
            <w:hideMark/>
          </w:tcPr>
          <w:p w14:paraId="1C6FDBC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2,7%</w:t>
            </w:r>
          </w:p>
        </w:tc>
        <w:tc>
          <w:tcPr>
            <w:tcW w:w="1685" w:type="dxa"/>
            <w:tcBorders>
              <w:top w:val="nil"/>
              <w:left w:val="nil"/>
              <w:bottom w:val="single" w:sz="4" w:space="0" w:color="auto"/>
              <w:right w:val="single" w:sz="4" w:space="0" w:color="auto"/>
            </w:tcBorders>
            <w:shd w:val="clear" w:color="auto" w:fill="auto"/>
            <w:noWrap/>
            <w:vAlign w:val="bottom"/>
            <w:hideMark/>
          </w:tcPr>
          <w:p w14:paraId="0A4E6DC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8,0%</w:t>
            </w:r>
          </w:p>
        </w:tc>
      </w:tr>
      <w:tr w:rsidR="005404F2" w:rsidRPr="00AF1F1F" w14:paraId="16860B67"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D244E42"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Maria</w:t>
            </w:r>
            <w:proofErr w:type="spellEnd"/>
            <w:r w:rsidRPr="00AF1F1F">
              <w:rPr>
                <w:rFonts w:eastAsia="Times New Roman" w:cs="Times New Roman"/>
                <w:color w:val="000000"/>
                <w:sz w:val="20"/>
                <w:szCs w:val="20"/>
              </w:rPr>
              <w:t xml:space="preserve"> Auxiliadora (CABA)</w:t>
            </w:r>
          </w:p>
        </w:tc>
        <w:tc>
          <w:tcPr>
            <w:tcW w:w="1172" w:type="dxa"/>
            <w:tcBorders>
              <w:top w:val="nil"/>
              <w:left w:val="nil"/>
              <w:bottom w:val="single" w:sz="4" w:space="0" w:color="auto"/>
              <w:right w:val="single" w:sz="4" w:space="0" w:color="auto"/>
            </w:tcBorders>
            <w:shd w:val="clear" w:color="auto" w:fill="auto"/>
            <w:noWrap/>
            <w:vAlign w:val="bottom"/>
            <w:hideMark/>
          </w:tcPr>
          <w:p w14:paraId="74DB377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11,5%</w:t>
            </w:r>
          </w:p>
        </w:tc>
        <w:tc>
          <w:tcPr>
            <w:tcW w:w="1324" w:type="dxa"/>
            <w:tcBorders>
              <w:top w:val="nil"/>
              <w:left w:val="nil"/>
              <w:bottom w:val="single" w:sz="4" w:space="0" w:color="auto"/>
              <w:right w:val="single" w:sz="4" w:space="0" w:color="auto"/>
            </w:tcBorders>
            <w:shd w:val="clear" w:color="auto" w:fill="auto"/>
            <w:noWrap/>
            <w:vAlign w:val="bottom"/>
            <w:hideMark/>
          </w:tcPr>
          <w:p w14:paraId="18EC4D1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172" w:type="dxa"/>
            <w:tcBorders>
              <w:top w:val="nil"/>
              <w:left w:val="nil"/>
              <w:bottom w:val="single" w:sz="4" w:space="0" w:color="auto"/>
              <w:right w:val="single" w:sz="4" w:space="0" w:color="auto"/>
            </w:tcBorders>
            <w:shd w:val="clear" w:color="auto" w:fill="auto"/>
            <w:noWrap/>
            <w:vAlign w:val="bottom"/>
            <w:hideMark/>
          </w:tcPr>
          <w:p w14:paraId="3C572CE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6,3%</w:t>
            </w:r>
          </w:p>
        </w:tc>
        <w:tc>
          <w:tcPr>
            <w:tcW w:w="1172" w:type="dxa"/>
            <w:tcBorders>
              <w:top w:val="nil"/>
              <w:left w:val="nil"/>
              <w:bottom w:val="single" w:sz="4" w:space="0" w:color="auto"/>
              <w:right w:val="single" w:sz="4" w:space="0" w:color="auto"/>
            </w:tcBorders>
            <w:shd w:val="clear" w:color="auto" w:fill="auto"/>
            <w:noWrap/>
            <w:vAlign w:val="bottom"/>
            <w:hideMark/>
          </w:tcPr>
          <w:p w14:paraId="776150F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172" w:type="dxa"/>
            <w:tcBorders>
              <w:top w:val="nil"/>
              <w:left w:val="nil"/>
              <w:bottom w:val="single" w:sz="4" w:space="0" w:color="auto"/>
              <w:right w:val="single" w:sz="4" w:space="0" w:color="auto"/>
            </w:tcBorders>
            <w:shd w:val="clear" w:color="auto" w:fill="auto"/>
            <w:noWrap/>
            <w:vAlign w:val="bottom"/>
            <w:hideMark/>
          </w:tcPr>
          <w:p w14:paraId="6B6BC10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w:t>
            </w:r>
          </w:p>
        </w:tc>
        <w:tc>
          <w:tcPr>
            <w:tcW w:w="1685" w:type="dxa"/>
            <w:tcBorders>
              <w:top w:val="nil"/>
              <w:left w:val="nil"/>
              <w:bottom w:val="single" w:sz="4" w:space="0" w:color="auto"/>
              <w:right w:val="single" w:sz="4" w:space="0" w:color="auto"/>
            </w:tcBorders>
            <w:shd w:val="clear" w:color="auto" w:fill="auto"/>
            <w:noWrap/>
            <w:vAlign w:val="bottom"/>
            <w:hideMark/>
          </w:tcPr>
          <w:p w14:paraId="1FDA589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r>
      <w:tr w:rsidR="005404F2" w:rsidRPr="00AF1F1F" w14:paraId="1F6F2D16"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F7020C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Recoleta I (La Matanza)</w:t>
            </w:r>
          </w:p>
        </w:tc>
        <w:tc>
          <w:tcPr>
            <w:tcW w:w="1172" w:type="dxa"/>
            <w:tcBorders>
              <w:top w:val="nil"/>
              <w:left w:val="nil"/>
              <w:bottom w:val="single" w:sz="4" w:space="0" w:color="auto"/>
              <w:right w:val="single" w:sz="4" w:space="0" w:color="auto"/>
            </w:tcBorders>
            <w:shd w:val="clear" w:color="auto" w:fill="auto"/>
            <w:noWrap/>
            <w:vAlign w:val="bottom"/>
            <w:hideMark/>
          </w:tcPr>
          <w:p w14:paraId="7BA601C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15,5%</w:t>
            </w:r>
          </w:p>
        </w:tc>
        <w:tc>
          <w:tcPr>
            <w:tcW w:w="1324" w:type="dxa"/>
            <w:tcBorders>
              <w:top w:val="nil"/>
              <w:left w:val="nil"/>
              <w:bottom w:val="single" w:sz="4" w:space="0" w:color="auto"/>
              <w:right w:val="single" w:sz="4" w:space="0" w:color="auto"/>
            </w:tcBorders>
            <w:shd w:val="clear" w:color="auto" w:fill="auto"/>
            <w:noWrap/>
            <w:vAlign w:val="bottom"/>
            <w:hideMark/>
          </w:tcPr>
          <w:p w14:paraId="2AA0065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c>
          <w:tcPr>
            <w:tcW w:w="1172" w:type="dxa"/>
            <w:tcBorders>
              <w:top w:val="nil"/>
              <w:left w:val="nil"/>
              <w:bottom w:val="single" w:sz="4" w:space="0" w:color="auto"/>
              <w:right w:val="single" w:sz="4" w:space="0" w:color="auto"/>
            </w:tcBorders>
            <w:shd w:val="clear" w:color="auto" w:fill="auto"/>
            <w:noWrap/>
            <w:vAlign w:val="bottom"/>
            <w:hideMark/>
          </w:tcPr>
          <w:p w14:paraId="581F1A2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10,3%</w:t>
            </w:r>
          </w:p>
        </w:tc>
        <w:tc>
          <w:tcPr>
            <w:tcW w:w="1172" w:type="dxa"/>
            <w:tcBorders>
              <w:top w:val="nil"/>
              <w:left w:val="nil"/>
              <w:bottom w:val="single" w:sz="4" w:space="0" w:color="auto"/>
              <w:right w:val="single" w:sz="4" w:space="0" w:color="auto"/>
            </w:tcBorders>
            <w:shd w:val="clear" w:color="auto" w:fill="auto"/>
            <w:noWrap/>
            <w:vAlign w:val="bottom"/>
            <w:hideMark/>
          </w:tcPr>
          <w:p w14:paraId="3C3C3ED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c>
          <w:tcPr>
            <w:tcW w:w="1172" w:type="dxa"/>
            <w:tcBorders>
              <w:top w:val="nil"/>
              <w:left w:val="nil"/>
              <w:bottom w:val="single" w:sz="4" w:space="0" w:color="auto"/>
              <w:right w:val="single" w:sz="4" w:space="0" w:color="auto"/>
            </w:tcBorders>
            <w:shd w:val="clear" w:color="auto" w:fill="auto"/>
            <w:noWrap/>
            <w:vAlign w:val="bottom"/>
            <w:hideMark/>
          </w:tcPr>
          <w:p w14:paraId="6E446A3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3,2%</w:t>
            </w:r>
          </w:p>
        </w:tc>
        <w:tc>
          <w:tcPr>
            <w:tcW w:w="1685" w:type="dxa"/>
            <w:tcBorders>
              <w:top w:val="nil"/>
              <w:left w:val="nil"/>
              <w:bottom w:val="single" w:sz="4" w:space="0" w:color="auto"/>
              <w:right w:val="single" w:sz="4" w:space="0" w:color="auto"/>
            </w:tcBorders>
            <w:shd w:val="clear" w:color="auto" w:fill="auto"/>
            <w:noWrap/>
            <w:vAlign w:val="bottom"/>
            <w:hideMark/>
          </w:tcPr>
          <w:p w14:paraId="51AAC5B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17,9%</w:t>
            </w:r>
          </w:p>
        </w:tc>
      </w:tr>
      <w:tr w:rsidR="005404F2" w:rsidRPr="00AF1F1F" w14:paraId="2218EA54"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07215C4B"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Sakura</w:t>
            </w:r>
            <w:proofErr w:type="spellEnd"/>
            <w:r w:rsidRPr="00AF1F1F">
              <w:rPr>
                <w:rFonts w:eastAsia="Times New Roman" w:cs="Times New Roman"/>
                <w:color w:val="000000"/>
                <w:sz w:val="20"/>
                <w:szCs w:val="20"/>
              </w:rPr>
              <w:t xml:space="preserve"> (</w:t>
            </w:r>
            <w:proofErr w:type="spellStart"/>
            <w:r w:rsidRPr="00AF1F1F">
              <w:rPr>
                <w:rFonts w:eastAsia="Times New Roman" w:cs="Times New Roman"/>
                <w:color w:val="000000"/>
                <w:sz w:val="20"/>
                <w:szCs w:val="20"/>
              </w:rPr>
              <w:t>Alte</w:t>
            </w:r>
            <w:proofErr w:type="spellEnd"/>
            <w:r w:rsidRPr="00AF1F1F">
              <w:rPr>
                <w:rFonts w:eastAsia="Times New Roman" w:cs="Times New Roman"/>
                <w:color w:val="000000"/>
                <w:sz w:val="20"/>
                <w:szCs w:val="20"/>
              </w:rPr>
              <w:t>. Brown)</w:t>
            </w:r>
          </w:p>
        </w:tc>
        <w:tc>
          <w:tcPr>
            <w:tcW w:w="1172" w:type="dxa"/>
            <w:tcBorders>
              <w:top w:val="nil"/>
              <w:left w:val="nil"/>
              <w:bottom w:val="single" w:sz="4" w:space="0" w:color="auto"/>
              <w:right w:val="single" w:sz="4" w:space="0" w:color="auto"/>
            </w:tcBorders>
            <w:shd w:val="clear" w:color="auto" w:fill="auto"/>
            <w:noWrap/>
            <w:vAlign w:val="bottom"/>
            <w:hideMark/>
          </w:tcPr>
          <w:p w14:paraId="25DE5EA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21,4%</w:t>
            </w:r>
          </w:p>
        </w:tc>
        <w:tc>
          <w:tcPr>
            <w:tcW w:w="1324" w:type="dxa"/>
            <w:tcBorders>
              <w:top w:val="nil"/>
              <w:left w:val="nil"/>
              <w:bottom w:val="single" w:sz="4" w:space="0" w:color="auto"/>
              <w:right w:val="single" w:sz="4" w:space="0" w:color="auto"/>
            </w:tcBorders>
            <w:shd w:val="clear" w:color="auto" w:fill="auto"/>
            <w:noWrap/>
            <w:vAlign w:val="bottom"/>
            <w:hideMark/>
          </w:tcPr>
          <w:p w14:paraId="5EE2B38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7,7%</w:t>
            </w:r>
          </w:p>
        </w:tc>
        <w:tc>
          <w:tcPr>
            <w:tcW w:w="1172" w:type="dxa"/>
            <w:tcBorders>
              <w:top w:val="nil"/>
              <w:left w:val="nil"/>
              <w:bottom w:val="single" w:sz="4" w:space="0" w:color="auto"/>
              <w:right w:val="single" w:sz="4" w:space="0" w:color="auto"/>
            </w:tcBorders>
            <w:shd w:val="clear" w:color="auto" w:fill="auto"/>
            <w:noWrap/>
            <w:vAlign w:val="bottom"/>
            <w:hideMark/>
          </w:tcPr>
          <w:p w14:paraId="3A0DB04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12,5%</w:t>
            </w:r>
          </w:p>
        </w:tc>
        <w:tc>
          <w:tcPr>
            <w:tcW w:w="1172" w:type="dxa"/>
            <w:tcBorders>
              <w:top w:val="nil"/>
              <w:left w:val="nil"/>
              <w:bottom w:val="single" w:sz="4" w:space="0" w:color="auto"/>
              <w:right w:val="single" w:sz="4" w:space="0" w:color="auto"/>
            </w:tcBorders>
            <w:shd w:val="clear" w:color="auto" w:fill="auto"/>
            <w:noWrap/>
            <w:vAlign w:val="bottom"/>
            <w:hideMark/>
          </w:tcPr>
          <w:p w14:paraId="3A30B87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4,8%</w:t>
            </w:r>
          </w:p>
        </w:tc>
        <w:tc>
          <w:tcPr>
            <w:tcW w:w="1172" w:type="dxa"/>
            <w:tcBorders>
              <w:top w:val="nil"/>
              <w:left w:val="nil"/>
              <w:bottom w:val="single" w:sz="4" w:space="0" w:color="auto"/>
              <w:right w:val="single" w:sz="4" w:space="0" w:color="auto"/>
            </w:tcBorders>
            <w:shd w:val="clear" w:color="auto" w:fill="auto"/>
            <w:noWrap/>
            <w:vAlign w:val="bottom"/>
            <w:hideMark/>
          </w:tcPr>
          <w:p w14:paraId="7A22505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1,2%</w:t>
            </w:r>
          </w:p>
        </w:tc>
        <w:tc>
          <w:tcPr>
            <w:tcW w:w="1685" w:type="dxa"/>
            <w:tcBorders>
              <w:top w:val="nil"/>
              <w:left w:val="nil"/>
              <w:bottom w:val="single" w:sz="4" w:space="0" w:color="auto"/>
              <w:right w:val="single" w:sz="4" w:space="0" w:color="auto"/>
            </w:tcBorders>
            <w:shd w:val="clear" w:color="auto" w:fill="auto"/>
            <w:noWrap/>
            <w:vAlign w:val="bottom"/>
            <w:hideMark/>
          </w:tcPr>
          <w:p w14:paraId="117073D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r>
      <w:tr w:rsidR="005404F2" w:rsidRPr="00AF1F1F" w14:paraId="2509A5B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30E26F95"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Andrés (Ezeiza)</w:t>
            </w:r>
          </w:p>
        </w:tc>
        <w:tc>
          <w:tcPr>
            <w:tcW w:w="1172" w:type="dxa"/>
            <w:tcBorders>
              <w:top w:val="nil"/>
              <w:left w:val="nil"/>
              <w:bottom w:val="single" w:sz="4" w:space="0" w:color="auto"/>
              <w:right w:val="single" w:sz="4" w:space="0" w:color="auto"/>
            </w:tcBorders>
            <w:shd w:val="clear" w:color="auto" w:fill="auto"/>
            <w:noWrap/>
            <w:vAlign w:val="bottom"/>
            <w:hideMark/>
          </w:tcPr>
          <w:p w14:paraId="79DF838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7,4%</w:t>
            </w:r>
          </w:p>
        </w:tc>
        <w:tc>
          <w:tcPr>
            <w:tcW w:w="1324" w:type="dxa"/>
            <w:tcBorders>
              <w:top w:val="nil"/>
              <w:left w:val="nil"/>
              <w:bottom w:val="single" w:sz="4" w:space="0" w:color="auto"/>
              <w:right w:val="single" w:sz="4" w:space="0" w:color="auto"/>
            </w:tcBorders>
            <w:shd w:val="clear" w:color="auto" w:fill="auto"/>
            <w:noWrap/>
            <w:vAlign w:val="bottom"/>
            <w:hideMark/>
          </w:tcPr>
          <w:p w14:paraId="0EC5375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2,2%</w:t>
            </w:r>
          </w:p>
        </w:tc>
        <w:tc>
          <w:tcPr>
            <w:tcW w:w="1172" w:type="dxa"/>
            <w:tcBorders>
              <w:top w:val="nil"/>
              <w:left w:val="nil"/>
              <w:bottom w:val="single" w:sz="4" w:space="0" w:color="auto"/>
              <w:right w:val="single" w:sz="4" w:space="0" w:color="auto"/>
            </w:tcBorders>
            <w:shd w:val="clear" w:color="auto" w:fill="auto"/>
            <w:noWrap/>
            <w:vAlign w:val="bottom"/>
            <w:hideMark/>
          </w:tcPr>
          <w:p w14:paraId="3EE9F7E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16,5%</w:t>
            </w:r>
          </w:p>
        </w:tc>
        <w:tc>
          <w:tcPr>
            <w:tcW w:w="1172" w:type="dxa"/>
            <w:tcBorders>
              <w:top w:val="nil"/>
              <w:left w:val="nil"/>
              <w:bottom w:val="single" w:sz="4" w:space="0" w:color="auto"/>
              <w:right w:val="single" w:sz="4" w:space="0" w:color="auto"/>
            </w:tcBorders>
            <w:shd w:val="clear" w:color="auto" w:fill="auto"/>
            <w:noWrap/>
            <w:vAlign w:val="bottom"/>
            <w:hideMark/>
          </w:tcPr>
          <w:p w14:paraId="30D7275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172" w:type="dxa"/>
            <w:tcBorders>
              <w:top w:val="nil"/>
              <w:left w:val="nil"/>
              <w:bottom w:val="single" w:sz="4" w:space="0" w:color="auto"/>
              <w:right w:val="single" w:sz="4" w:space="0" w:color="auto"/>
            </w:tcBorders>
            <w:shd w:val="clear" w:color="auto" w:fill="auto"/>
            <w:noWrap/>
            <w:vAlign w:val="bottom"/>
            <w:hideMark/>
          </w:tcPr>
          <w:p w14:paraId="490CFBB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1,9%</w:t>
            </w:r>
          </w:p>
        </w:tc>
        <w:tc>
          <w:tcPr>
            <w:tcW w:w="1685" w:type="dxa"/>
            <w:tcBorders>
              <w:top w:val="nil"/>
              <w:left w:val="nil"/>
              <w:bottom w:val="single" w:sz="4" w:space="0" w:color="auto"/>
              <w:right w:val="single" w:sz="4" w:space="0" w:color="auto"/>
            </w:tcBorders>
            <w:shd w:val="clear" w:color="auto" w:fill="auto"/>
            <w:noWrap/>
            <w:vAlign w:val="bottom"/>
            <w:hideMark/>
          </w:tcPr>
          <w:p w14:paraId="12215D6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7,4%</w:t>
            </w:r>
          </w:p>
        </w:tc>
      </w:tr>
      <w:tr w:rsidR="005404F2" w:rsidRPr="00AF1F1F" w14:paraId="49AB84C8"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7E274122"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Carlos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42FAA58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324" w:type="dxa"/>
            <w:tcBorders>
              <w:top w:val="nil"/>
              <w:left w:val="nil"/>
              <w:bottom w:val="single" w:sz="4" w:space="0" w:color="auto"/>
              <w:right w:val="single" w:sz="4" w:space="0" w:color="auto"/>
            </w:tcBorders>
            <w:shd w:val="clear" w:color="auto" w:fill="auto"/>
            <w:noWrap/>
            <w:vAlign w:val="bottom"/>
            <w:hideMark/>
          </w:tcPr>
          <w:p w14:paraId="24ACB60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172" w:type="dxa"/>
            <w:tcBorders>
              <w:top w:val="nil"/>
              <w:left w:val="nil"/>
              <w:bottom w:val="single" w:sz="4" w:space="0" w:color="auto"/>
              <w:right w:val="single" w:sz="4" w:space="0" w:color="auto"/>
            </w:tcBorders>
            <w:shd w:val="clear" w:color="auto" w:fill="auto"/>
            <w:noWrap/>
            <w:vAlign w:val="bottom"/>
            <w:hideMark/>
          </w:tcPr>
          <w:p w14:paraId="10CF4AA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11,5%</w:t>
            </w:r>
          </w:p>
        </w:tc>
        <w:tc>
          <w:tcPr>
            <w:tcW w:w="1172" w:type="dxa"/>
            <w:tcBorders>
              <w:top w:val="nil"/>
              <w:left w:val="nil"/>
              <w:bottom w:val="single" w:sz="4" w:space="0" w:color="auto"/>
              <w:right w:val="single" w:sz="4" w:space="0" w:color="auto"/>
            </w:tcBorders>
            <w:shd w:val="clear" w:color="auto" w:fill="auto"/>
            <w:noWrap/>
            <w:vAlign w:val="bottom"/>
            <w:hideMark/>
          </w:tcPr>
          <w:p w14:paraId="7B6F15D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2,4%</w:t>
            </w:r>
          </w:p>
        </w:tc>
        <w:tc>
          <w:tcPr>
            <w:tcW w:w="1172" w:type="dxa"/>
            <w:tcBorders>
              <w:top w:val="nil"/>
              <w:left w:val="nil"/>
              <w:bottom w:val="single" w:sz="4" w:space="0" w:color="auto"/>
              <w:right w:val="single" w:sz="4" w:space="0" w:color="auto"/>
            </w:tcBorders>
            <w:shd w:val="clear" w:color="auto" w:fill="auto"/>
            <w:noWrap/>
            <w:vAlign w:val="bottom"/>
            <w:hideMark/>
          </w:tcPr>
          <w:p w14:paraId="6FA6F0D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685" w:type="dxa"/>
            <w:tcBorders>
              <w:top w:val="nil"/>
              <w:left w:val="nil"/>
              <w:bottom w:val="single" w:sz="4" w:space="0" w:color="auto"/>
              <w:right w:val="single" w:sz="4" w:space="0" w:color="auto"/>
            </w:tcBorders>
            <w:shd w:val="clear" w:color="auto" w:fill="auto"/>
            <w:noWrap/>
            <w:vAlign w:val="bottom"/>
            <w:hideMark/>
          </w:tcPr>
          <w:p w14:paraId="72733B0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r>
      <w:tr w:rsidR="005404F2" w:rsidRPr="00AF1F1F" w14:paraId="1155C6D4" w14:textId="77777777" w:rsidTr="00D01016">
        <w:trPr>
          <w:trHeight w:hRule="exact" w:val="354"/>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5411CA64"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San Carlos Oeste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498E411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11,1%</w:t>
            </w:r>
          </w:p>
        </w:tc>
        <w:tc>
          <w:tcPr>
            <w:tcW w:w="1324" w:type="dxa"/>
            <w:tcBorders>
              <w:top w:val="nil"/>
              <w:left w:val="nil"/>
              <w:bottom w:val="single" w:sz="4" w:space="0" w:color="auto"/>
              <w:right w:val="single" w:sz="4" w:space="0" w:color="auto"/>
            </w:tcBorders>
            <w:shd w:val="clear" w:color="auto" w:fill="auto"/>
            <w:noWrap/>
            <w:vAlign w:val="bottom"/>
            <w:hideMark/>
          </w:tcPr>
          <w:p w14:paraId="7163ABE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11,1%</w:t>
            </w:r>
          </w:p>
        </w:tc>
        <w:tc>
          <w:tcPr>
            <w:tcW w:w="1172" w:type="dxa"/>
            <w:tcBorders>
              <w:top w:val="nil"/>
              <w:left w:val="nil"/>
              <w:bottom w:val="single" w:sz="4" w:space="0" w:color="auto"/>
              <w:right w:val="single" w:sz="4" w:space="0" w:color="auto"/>
            </w:tcBorders>
            <w:shd w:val="clear" w:color="auto" w:fill="auto"/>
            <w:noWrap/>
            <w:vAlign w:val="bottom"/>
            <w:hideMark/>
          </w:tcPr>
          <w:p w14:paraId="17C69EA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172" w:type="dxa"/>
            <w:tcBorders>
              <w:top w:val="nil"/>
              <w:left w:val="nil"/>
              <w:bottom w:val="single" w:sz="4" w:space="0" w:color="auto"/>
              <w:right w:val="single" w:sz="4" w:space="0" w:color="auto"/>
            </w:tcBorders>
            <w:shd w:val="clear" w:color="auto" w:fill="auto"/>
            <w:noWrap/>
            <w:vAlign w:val="bottom"/>
            <w:hideMark/>
          </w:tcPr>
          <w:p w14:paraId="39C0349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172" w:type="dxa"/>
            <w:tcBorders>
              <w:top w:val="nil"/>
              <w:left w:val="nil"/>
              <w:bottom w:val="single" w:sz="4" w:space="0" w:color="auto"/>
              <w:right w:val="single" w:sz="4" w:space="0" w:color="auto"/>
            </w:tcBorders>
            <w:shd w:val="clear" w:color="auto" w:fill="auto"/>
            <w:noWrap/>
            <w:vAlign w:val="bottom"/>
            <w:hideMark/>
          </w:tcPr>
          <w:p w14:paraId="1DAD93B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685" w:type="dxa"/>
            <w:tcBorders>
              <w:top w:val="nil"/>
              <w:left w:val="nil"/>
              <w:bottom w:val="single" w:sz="4" w:space="0" w:color="auto"/>
              <w:right w:val="single" w:sz="4" w:space="0" w:color="auto"/>
            </w:tcBorders>
            <w:shd w:val="clear" w:color="auto" w:fill="auto"/>
            <w:noWrap/>
            <w:vAlign w:val="bottom"/>
            <w:hideMark/>
          </w:tcPr>
          <w:p w14:paraId="2708A2A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55,6%</w:t>
            </w:r>
          </w:p>
        </w:tc>
      </w:tr>
      <w:tr w:rsidR="005404F2" w:rsidRPr="00AF1F1F" w14:paraId="325E3A35"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22B96FC9"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Soledad (Lomas de Zamora)</w:t>
            </w:r>
          </w:p>
        </w:tc>
        <w:tc>
          <w:tcPr>
            <w:tcW w:w="1172" w:type="dxa"/>
            <w:tcBorders>
              <w:top w:val="nil"/>
              <w:left w:val="nil"/>
              <w:bottom w:val="single" w:sz="4" w:space="0" w:color="auto"/>
              <w:right w:val="single" w:sz="4" w:space="0" w:color="auto"/>
            </w:tcBorders>
            <w:shd w:val="clear" w:color="auto" w:fill="auto"/>
            <w:noWrap/>
            <w:vAlign w:val="bottom"/>
            <w:hideMark/>
          </w:tcPr>
          <w:p w14:paraId="3F02316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10,8%</w:t>
            </w:r>
          </w:p>
        </w:tc>
        <w:tc>
          <w:tcPr>
            <w:tcW w:w="1324" w:type="dxa"/>
            <w:tcBorders>
              <w:top w:val="nil"/>
              <w:left w:val="nil"/>
              <w:bottom w:val="single" w:sz="4" w:space="0" w:color="auto"/>
              <w:right w:val="single" w:sz="4" w:space="0" w:color="auto"/>
            </w:tcBorders>
            <w:shd w:val="clear" w:color="auto" w:fill="auto"/>
            <w:noWrap/>
            <w:vAlign w:val="bottom"/>
            <w:hideMark/>
          </w:tcPr>
          <w:p w14:paraId="522E563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4,7%</w:t>
            </w:r>
          </w:p>
        </w:tc>
        <w:tc>
          <w:tcPr>
            <w:tcW w:w="1172" w:type="dxa"/>
            <w:tcBorders>
              <w:top w:val="nil"/>
              <w:left w:val="nil"/>
              <w:bottom w:val="single" w:sz="4" w:space="0" w:color="auto"/>
              <w:right w:val="single" w:sz="4" w:space="0" w:color="auto"/>
            </w:tcBorders>
            <w:shd w:val="clear" w:color="auto" w:fill="auto"/>
            <w:noWrap/>
            <w:vAlign w:val="bottom"/>
            <w:hideMark/>
          </w:tcPr>
          <w:p w14:paraId="56AF8534"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5,7%</w:t>
            </w:r>
          </w:p>
        </w:tc>
        <w:tc>
          <w:tcPr>
            <w:tcW w:w="1172" w:type="dxa"/>
            <w:tcBorders>
              <w:top w:val="nil"/>
              <w:left w:val="nil"/>
              <w:bottom w:val="single" w:sz="4" w:space="0" w:color="auto"/>
              <w:right w:val="single" w:sz="4" w:space="0" w:color="auto"/>
            </w:tcBorders>
            <w:shd w:val="clear" w:color="auto" w:fill="auto"/>
            <w:noWrap/>
            <w:vAlign w:val="bottom"/>
            <w:hideMark/>
          </w:tcPr>
          <w:p w14:paraId="2695FF5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3,6%</w:t>
            </w:r>
          </w:p>
        </w:tc>
        <w:tc>
          <w:tcPr>
            <w:tcW w:w="1172" w:type="dxa"/>
            <w:tcBorders>
              <w:top w:val="nil"/>
              <w:left w:val="nil"/>
              <w:bottom w:val="single" w:sz="4" w:space="0" w:color="auto"/>
              <w:right w:val="single" w:sz="4" w:space="0" w:color="auto"/>
            </w:tcBorders>
            <w:shd w:val="clear" w:color="auto" w:fill="auto"/>
            <w:noWrap/>
            <w:vAlign w:val="bottom"/>
            <w:hideMark/>
          </w:tcPr>
          <w:p w14:paraId="6370C80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c>
          <w:tcPr>
            <w:tcW w:w="1685" w:type="dxa"/>
            <w:tcBorders>
              <w:top w:val="nil"/>
              <w:left w:val="nil"/>
              <w:bottom w:val="single" w:sz="4" w:space="0" w:color="auto"/>
              <w:right w:val="single" w:sz="4" w:space="0" w:color="auto"/>
            </w:tcBorders>
            <w:shd w:val="clear" w:color="auto" w:fill="auto"/>
            <w:noWrap/>
            <w:vAlign w:val="bottom"/>
            <w:hideMark/>
          </w:tcPr>
          <w:p w14:paraId="78B77DB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9,3%</w:t>
            </w:r>
          </w:p>
        </w:tc>
      </w:tr>
      <w:tr w:rsidR="005404F2" w:rsidRPr="00AF1F1F" w14:paraId="41111F37"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63EBD898"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Torchiario</w:t>
            </w:r>
            <w:proofErr w:type="spellEnd"/>
            <w:r w:rsidRPr="00AF1F1F">
              <w:rPr>
                <w:rFonts w:eastAsia="Times New Roman" w:cs="Times New Roman"/>
                <w:color w:val="000000"/>
                <w:sz w:val="20"/>
                <w:szCs w:val="20"/>
              </w:rPr>
              <w:t xml:space="preserve"> (Marcos Paz)</w:t>
            </w:r>
          </w:p>
        </w:tc>
        <w:tc>
          <w:tcPr>
            <w:tcW w:w="1172" w:type="dxa"/>
            <w:tcBorders>
              <w:top w:val="nil"/>
              <w:left w:val="nil"/>
              <w:bottom w:val="single" w:sz="4" w:space="0" w:color="auto"/>
              <w:right w:val="single" w:sz="4" w:space="0" w:color="auto"/>
            </w:tcBorders>
            <w:shd w:val="clear" w:color="auto" w:fill="auto"/>
            <w:noWrap/>
            <w:vAlign w:val="bottom"/>
            <w:hideMark/>
          </w:tcPr>
          <w:p w14:paraId="69E13B2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6,8%</w:t>
            </w:r>
          </w:p>
        </w:tc>
        <w:tc>
          <w:tcPr>
            <w:tcW w:w="1324" w:type="dxa"/>
            <w:tcBorders>
              <w:top w:val="nil"/>
              <w:left w:val="nil"/>
              <w:bottom w:val="single" w:sz="4" w:space="0" w:color="auto"/>
              <w:right w:val="single" w:sz="4" w:space="0" w:color="auto"/>
            </w:tcBorders>
            <w:shd w:val="clear" w:color="auto" w:fill="auto"/>
            <w:noWrap/>
            <w:vAlign w:val="bottom"/>
            <w:hideMark/>
          </w:tcPr>
          <w:p w14:paraId="00A70B4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1172" w:type="dxa"/>
            <w:tcBorders>
              <w:top w:val="nil"/>
              <w:left w:val="nil"/>
              <w:bottom w:val="single" w:sz="4" w:space="0" w:color="auto"/>
              <w:right w:val="single" w:sz="4" w:space="0" w:color="auto"/>
            </w:tcBorders>
            <w:shd w:val="clear" w:color="auto" w:fill="auto"/>
            <w:noWrap/>
            <w:vAlign w:val="bottom"/>
            <w:hideMark/>
          </w:tcPr>
          <w:p w14:paraId="236880E8"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5,9%</w:t>
            </w:r>
          </w:p>
        </w:tc>
        <w:tc>
          <w:tcPr>
            <w:tcW w:w="1172" w:type="dxa"/>
            <w:tcBorders>
              <w:top w:val="nil"/>
              <w:left w:val="nil"/>
              <w:bottom w:val="single" w:sz="4" w:space="0" w:color="auto"/>
              <w:right w:val="single" w:sz="4" w:space="0" w:color="auto"/>
            </w:tcBorders>
            <w:shd w:val="clear" w:color="auto" w:fill="auto"/>
            <w:noWrap/>
            <w:vAlign w:val="bottom"/>
            <w:hideMark/>
          </w:tcPr>
          <w:p w14:paraId="7B25FD2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4,2%</w:t>
            </w:r>
          </w:p>
        </w:tc>
        <w:tc>
          <w:tcPr>
            <w:tcW w:w="1172" w:type="dxa"/>
            <w:tcBorders>
              <w:top w:val="nil"/>
              <w:left w:val="nil"/>
              <w:bottom w:val="single" w:sz="4" w:space="0" w:color="auto"/>
              <w:right w:val="single" w:sz="4" w:space="0" w:color="auto"/>
            </w:tcBorders>
            <w:shd w:val="clear" w:color="auto" w:fill="auto"/>
            <w:noWrap/>
            <w:vAlign w:val="bottom"/>
            <w:hideMark/>
          </w:tcPr>
          <w:p w14:paraId="7B6DA15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3,0%</w:t>
            </w:r>
          </w:p>
        </w:tc>
        <w:tc>
          <w:tcPr>
            <w:tcW w:w="1685" w:type="dxa"/>
            <w:tcBorders>
              <w:top w:val="nil"/>
              <w:left w:val="nil"/>
              <w:bottom w:val="single" w:sz="4" w:space="0" w:color="auto"/>
              <w:right w:val="single" w:sz="4" w:space="0" w:color="auto"/>
            </w:tcBorders>
            <w:shd w:val="clear" w:color="auto" w:fill="auto"/>
            <w:noWrap/>
            <w:vAlign w:val="bottom"/>
            <w:hideMark/>
          </w:tcPr>
          <w:p w14:paraId="37D3528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3,8%</w:t>
            </w:r>
          </w:p>
        </w:tc>
      </w:tr>
      <w:tr w:rsidR="005404F2" w:rsidRPr="00AF1F1F" w14:paraId="65EA2073"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48E76097"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Trasradio</w:t>
            </w:r>
            <w:proofErr w:type="spellEnd"/>
            <w:r w:rsidRPr="00AF1F1F">
              <w:rPr>
                <w:rFonts w:eastAsia="Times New Roman" w:cs="Times New Roman"/>
                <w:color w:val="000000"/>
                <w:sz w:val="20"/>
                <w:szCs w:val="20"/>
              </w:rPr>
              <w:t xml:space="preserve"> (E. Echeverría)</w:t>
            </w:r>
          </w:p>
        </w:tc>
        <w:tc>
          <w:tcPr>
            <w:tcW w:w="1172" w:type="dxa"/>
            <w:tcBorders>
              <w:top w:val="nil"/>
              <w:left w:val="nil"/>
              <w:bottom w:val="single" w:sz="4" w:space="0" w:color="auto"/>
              <w:right w:val="single" w:sz="4" w:space="0" w:color="auto"/>
            </w:tcBorders>
            <w:shd w:val="clear" w:color="auto" w:fill="auto"/>
            <w:noWrap/>
            <w:vAlign w:val="bottom"/>
            <w:hideMark/>
          </w:tcPr>
          <w:p w14:paraId="6F715200"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9,2%</w:t>
            </w:r>
          </w:p>
        </w:tc>
        <w:tc>
          <w:tcPr>
            <w:tcW w:w="1324" w:type="dxa"/>
            <w:tcBorders>
              <w:top w:val="nil"/>
              <w:left w:val="nil"/>
              <w:bottom w:val="single" w:sz="4" w:space="0" w:color="auto"/>
              <w:right w:val="single" w:sz="4" w:space="0" w:color="auto"/>
            </w:tcBorders>
            <w:shd w:val="clear" w:color="auto" w:fill="auto"/>
            <w:noWrap/>
            <w:vAlign w:val="bottom"/>
            <w:hideMark/>
          </w:tcPr>
          <w:p w14:paraId="6963BF56"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3,5%</w:t>
            </w:r>
          </w:p>
        </w:tc>
        <w:tc>
          <w:tcPr>
            <w:tcW w:w="1172" w:type="dxa"/>
            <w:tcBorders>
              <w:top w:val="nil"/>
              <w:left w:val="nil"/>
              <w:bottom w:val="single" w:sz="4" w:space="0" w:color="auto"/>
              <w:right w:val="single" w:sz="4" w:space="0" w:color="auto"/>
            </w:tcBorders>
            <w:shd w:val="clear" w:color="auto" w:fill="auto"/>
            <w:noWrap/>
            <w:vAlign w:val="bottom"/>
            <w:hideMark/>
          </w:tcPr>
          <w:p w14:paraId="32B0317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8,8%</w:t>
            </w:r>
          </w:p>
        </w:tc>
        <w:tc>
          <w:tcPr>
            <w:tcW w:w="1172" w:type="dxa"/>
            <w:tcBorders>
              <w:top w:val="nil"/>
              <w:left w:val="nil"/>
              <w:bottom w:val="single" w:sz="4" w:space="0" w:color="auto"/>
              <w:right w:val="single" w:sz="4" w:space="0" w:color="auto"/>
            </w:tcBorders>
            <w:shd w:val="clear" w:color="auto" w:fill="auto"/>
            <w:noWrap/>
            <w:vAlign w:val="bottom"/>
            <w:hideMark/>
          </w:tcPr>
          <w:p w14:paraId="2C66794C"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4,9%</w:t>
            </w:r>
          </w:p>
        </w:tc>
        <w:tc>
          <w:tcPr>
            <w:tcW w:w="1172" w:type="dxa"/>
            <w:tcBorders>
              <w:top w:val="nil"/>
              <w:left w:val="nil"/>
              <w:bottom w:val="single" w:sz="4" w:space="0" w:color="auto"/>
              <w:right w:val="single" w:sz="4" w:space="0" w:color="auto"/>
            </w:tcBorders>
            <w:shd w:val="clear" w:color="auto" w:fill="auto"/>
            <w:noWrap/>
            <w:vAlign w:val="bottom"/>
            <w:hideMark/>
          </w:tcPr>
          <w:p w14:paraId="724834F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3,9%</w:t>
            </w:r>
          </w:p>
        </w:tc>
        <w:tc>
          <w:tcPr>
            <w:tcW w:w="1685" w:type="dxa"/>
            <w:tcBorders>
              <w:top w:val="nil"/>
              <w:left w:val="nil"/>
              <w:bottom w:val="single" w:sz="4" w:space="0" w:color="auto"/>
              <w:right w:val="single" w:sz="4" w:space="0" w:color="auto"/>
            </w:tcBorders>
            <w:shd w:val="clear" w:color="auto" w:fill="auto"/>
            <w:noWrap/>
            <w:vAlign w:val="bottom"/>
            <w:hideMark/>
          </w:tcPr>
          <w:p w14:paraId="5725F30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4,6%</w:t>
            </w:r>
          </w:p>
        </w:tc>
      </w:tr>
      <w:tr w:rsidR="005404F2" w:rsidRPr="00AF1F1F" w14:paraId="223CF737"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61EBB6BD" w14:textId="77777777" w:rsidR="00A45E15" w:rsidRPr="00AF1F1F" w:rsidRDefault="00A45E15" w:rsidP="005404F2">
            <w:pPr>
              <w:spacing w:line="240" w:lineRule="auto"/>
              <w:jc w:val="left"/>
              <w:rPr>
                <w:rFonts w:eastAsia="Times New Roman" w:cs="Times New Roman"/>
                <w:color w:val="000000"/>
                <w:sz w:val="20"/>
                <w:szCs w:val="20"/>
              </w:rPr>
            </w:pPr>
            <w:proofErr w:type="spellStart"/>
            <w:r w:rsidRPr="00AF1F1F">
              <w:rPr>
                <w:rFonts w:eastAsia="Times New Roman" w:cs="Times New Roman"/>
                <w:color w:val="000000"/>
                <w:sz w:val="20"/>
                <w:szCs w:val="20"/>
              </w:rPr>
              <w:t>Urioste</w:t>
            </w:r>
            <w:proofErr w:type="spellEnd"/>
            <w:r w:rsidRPr="00AF1F1F">
              <w:rPr>
                <w:rFonts w:eastAsia="Times New Roman" w:cs="Times New Roman"/>
                <w:color w:val="000000"/>
                <w:sz w:val="20"/>
                <w:szCs w:val="20"/>
              </w:rPr>
              <w:t xml:space="preserve"> (Marcos Paz)</w:t>
            </w:r>
          </w:p>
        </w:tc>
        <w:tc>
          <w:tcPr>
            <w:tcW w:w="1172" w:type="dxa"/>
            <w:tcBorders>
              <w:top w:val="nil"/>
              <w:left w:val="nil"/>
              <w:bottom w:val="single" w:sz="4" w:space="0" w:color="auto"/>
              <w:right w:val="single" w:sz="4" w:space="0" w:color="auto"/>
            </w:tcBorders>
            <w:shd w:val="clear" w:color="auto" w:fill="auto"/>
            <w:noWrap/>
            <w:vAlign w:val="bottom"/>
            <w:hideMark/>
          </w:tcPr>
          <w:p w14:paraId="2ACE5E2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6,4%</w:t>
            </w:r>
          </w:p>
        </w:tc>
        <w:tc>
          <w:tcPr>
            <w:tcW w:w="1324" w:type="dxa"/>
            <w:tcBorders>
              <w:top w:val="nil"/>
              <w:left w:val="nil"/>
              <w:bottom w:val="single" w:sz="4" w:space="0" w:color="auto"/>
              <w:right w:val="single" w:sz="4" w:space="0" w:color="auto"/>
            </w:tcBorders>
            <w:shd w:val="clear" w:color="auto" w:fill="auto"/>
            <w:noWrap/>
            <w:vAlign w:val="bottom"/>
            <w:hideMark/>
          </w:tcPr>
          <w:p w14:paraId="49FE004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1172" w:type="dxa"/>
            <w:tcBorders>
              <w:top w:val="nil"/>
              <w:left w:val="nil"/>
              <w:bottom w:val="single" w:sz="4" w:space="0" w:color="auto"/>
              <w:right w:val="single" w:sz="4" w:space="0" w:color="auto"/>
            </w:tcBorders>
            <w:shd w:val="clear" w:color="auto" w:fill="auto"/>
            <w:noWrap/>
            <w:vAlign w:val="bottom"/>
            <w:hideMark/>
          </w:tcPr>
          <w:p w14:paraId="305DEAB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2,9%</w:t>
            </w:r>
          </w:p>
        </w:tc>
        <w:tc>
          <w:tcPr>
            <w:tcW w:w="1172" w:type="dxa"/>
            <w:tcBorders>
              <w:top w:val="nil"/>
              <w:left w:val="nil"/>
              <w:bottom w:val="single" w:sz="4" w:space="0" w:color="auto"/>
              <w:right w:val="single" w:sz="4" w:space="0" w:color="auto"/>
            </w:tcBorders>
            <w:shd w:val="clear" w:color="auto" w:fill="auto"/>
            <w:noWrap/>
            <w:vAlign w:val="bottom"/>
            <w:hideMark/>
          </w:tcPr>
          <w:p w14:paraId="1E02C53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0,0%</w:t>
            </w:r>
          </w:p>
        </w:tc>
        <w:tc>
          <w:tcPr>
            <w:tcW w:w="1172" w:type="dxa"/>
            <w:tcBorders>
              <w:top w:val="nil"/>
              <w:left w:val="nil"/>
              <w:bottom w:val="single" w:sz="4" w:space="0" w:color="auto"/>
              <w:right w:val="single" w:sz="4" w:space="0" w:color="auto"/>
            </w:tcBorders>
            <w:shd w:val="clear" w:color="auto" w:fill="auto"/>
            <w:noWrap/>
            <w:vAlign w:val="bottom"/>
            <w:hideMark/>
          </w:tcPr>
          <w:p w14:paraId="6B550BDF"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2,1%</w:t>
            </w:r>
          </w:p>
        </w:tc>
        <w:tc>
          <w:tcPr>
            <w:tcW w:w="1685" w:type="dxa"/>
            <w:tcBorders>
              <w:top w:val="nil"/>
              <w:left w:val="nil"/>
              <w:bottom w:val="single" w:sz="4" w:space="0" w:color="auto"/>
              <w:right w:val="single" w:sz="4" w:space="0" w:color="auto"/>
            </w:tcBorders>
            <w:shd w:val="clear" w:color="auto" w:fill="auto"/>
            <w:noWrap/>
            <w:vAlign w:val="bottom"/>
            <w:hideMark/>
          </w:tcPr>
          <w:p w14:paraId="38B566FE"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4,3%</w:t>
            </w:r>
          </w:p>
        </w:tc>
      </w:tr>
      <w:tr w:rsidR="005404F2" w:rsidRPr="00AF1F1F" w14:paraId="087860F7"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17E4C3C3"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Villa Talleres (Lanús)</w:t>
            </w:r>
          </w:p>
        </w:tc>
        <w:tc>
          <w:tcPr>
            <w:tcW w:w="1172" w:type="dxa"/>
            <w:tcBorders>
              <w:top w:val="nil"/>
              <w:left w:val="nil"/>
              <w:bottom w:val="single" w:sz="4" w:space="0" w:color="auto"/>
              <w:right w:val="single" w:sz="4" w:space="0" w:color="auto"/>
            </w:tcBorders>
            <w:shd w:val="clear" w:color="auto" w:fill="auto"/>
            <w:noWrap/>
            <w:vAlign w:val="bottom"/>
            <w:hideMark/>
          </w:tcPr>
          <w:p w14:paraId="3E36CDF5"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6,7%</w:t>
            </w:r>
          </w:p>
        </w:tc>
        <w:tc>
          <w:tcPr>
            <w:tcW w:w="1324" w:type="dxa"/>
            <w:tcBorders>
              <w:top w:val="nil"/>
              <w:left w:val="nil"/>
              <w:bottom w:val="single" w:sz="4" w:space="0" w:color="auto"/>
              <w:right w:val="single" w:sz="4" w:space="0" w:color="auto"/>
            </w:tcBorders>
            <w:shd w:val="clear" w:color="auto" w:fill="auto"/>
            <w:noWrap/>
            <w:vAlign w:val="bottom"/>
            <w:hideMark/>
          </w:tcPr>
          <w:p w14:paraId="5787F9BB"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4,0%</w:t>
            </w:r>
          </w:p>
        </w:tc>
        <w:tc>
          <w:tcPr>
            <w:tcW w:w="1172" w:type="dxa"/>
            <w:tcBorders>
              <w:top w:val="nil"/>
              <w:left w:val="nil"/>
              <w:bottom w:val="single" w:sz="4" w:space="0" w:color="auto"/>
              <w:right w:val="single" w:sz="4" w:space="0" w:color="auto"/>
            </w:tcBorders>
            <w:shd w:val="clear" w:color="auto" w:fill="auto"/>
            <w:noWrap/>
            <w:vAlign w:val="bottom"/>
            <w:hideMark/>
          </w:tcPr>
          <w:p w14:paraId="168470F3"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7,0%</w:t>
            </w:r>
          </w:p>
        </w:tc>
        <w:tc>
          <w:tcPr>
            <w:tcW w:w="1172" w:type="dxa"/>
            <w:tcBorders>
              <w:top w:val="nil"/>
              <w:left w:val="nil"/>
              <w:bottom w:val="single" w:sz="4" w:space="0" w:color="auto"/>
              <w:right w:val="single" w:sz="4" w:space="0" w:color="auto"/>
            </w:tcBorders>
            <w:shd w:val="clear" w:color="auto" w:fill="auto"/>
            <w:noWrap/>
            <w:vAlign w:val="bottom"/>
            <w:hideMark/>
          </w:tcPr>
          <w:p w14:paraId="71EDD0F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0,9%</w:t>
            </w:r>
          </w:p>
        </w:tc>
        <w:tc>
          <w:tcPr>
            <w:tcW w:w="1172" w:type="dxa"/>
            <w:tcBorders>
              <w:top w:val="nil"/>
              <w:left w:val="nil"/>
              <w:bottom w:val="single" w:sz="4" w:space="0" w:color="auto"/>
              <w:right w:val="single" w:sz="4" w:space="0" w:color="auto"/>
            </w:tcBorders>
            <w:shd w:val="clear" w:color="auto" w:fill="auto"/>
            <w:noWrap/>
            <w:vAlign w:val="bottom"/>
            <w:hideMark/>
          </w:tcPr>
          <w:p w14:paraId="4B76D13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1,5%</w:t>
            </w:r>
          </w:p>
        </w:tc>
        <w:tc>
          <w:tcPr>
            <w:tcW w:w="1685" w:type="dxa"/>
            <w:tcBorders>
              <w:top w:val="nil"/>
              <w:left w:val="nil"/>
              <w:bottom w:val="single" w:sz="4" w:space="0" w:color="auto"/>
              <w:right w:val="single" w:sz="4" w:space="0" w:color="auto"/>
            </w:tcBorders>
            <w:shd w:val="clear" w:color="auto" w:fill="auto"/>
            <w:noWrap/>
            <w:vAlign w:val="bottom"/>
            <w:hideMark/>
          </w:tcPr>
          <w:p w14:paraId="28455FC9"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5,5%</w:t>
            </w:r>
          </w:p>
        </w:tc>
      </w:tr>
      <w:tr w:rsidR="005404F2" w:rsidRPr="00AF1F1F" w14:paraId="6CC42F5E" w14:textId="77777777" w:rsidTr="005E55AE">
        <w:trPr>
          <w:trHeight w:hRule="exact" w:val="275"/>
          <w:jc w:val="center"/>
        </w:trPr>
        <w:tc>
          <w:tcPr>
            <w:tcW w:w="3388" w:type="dxa"/>
            <w:tcBorders>
              <w:top w:val="nil"/>
              <w:left w:val="single" w:sz="4" w:space="0" w:color="auto"/>
              <w:bottom w:val="single" w:sz="4" w:space="0" w:color="auto"/>
              <w:right w:val="single" w:sz="4" w:space="0" w:color="auto"/>
            </w:tcBorders>
            <w:shd w:val="clear" w:color="auto" w:fill="auto"/>
            <w:noWrap/>
            <w:vAlign w:val="bottom"/>
            <w:hideMark/>
          </w:tcPr>
          <w:p w14:paraId="0D2C8706" w14:textId="77777777" w:rsidR="00A45E15" w:rsidRPr="00AF1F1F" w:rsidRDefault="00A45E15" w:rsidP="005404F2">
            <w:pPr>
              <w:spacing w:line="240" w:lineRule="auto"/>
              <w:jc w:val="left"/>
              <w:rPr>
                <w:rFonts w:eastAsia="Times New Roman" w:cs="Times New Roman"/>
                <w:color w:val="000000"/>
                <w:sz w:val="20"/>
                <w:szCs w:val="20"/>
              </w:rPr>
            </w:pPr>
            <w:r w:rsidRPr="00AF1F1F">
              <w:rPr>
                <w:rFonts w:eastAsia="Times New Roman" w:cs="Times New Roman"/>
                <w:color w:val="000000"/>
                <w:sz w:val="20"/>
                <w:szCs w:val="20"/>
              </w:rPr>
              <w:t>Vista Linda (Ezeiza)</w:t>
            </w:r>
          </w:p>
        </w:tc>
        <w:tc>
          <w:tcPr>
            <w:tcW w:w="1172" w:type="dxa"/>
            <w:tcBorders>
              <w:top w:val="nil"/>
              <w:left w:val="nil"/>
              <w:bottom w:val="single" w:sz="4" w:space="0" w:color="auto"/>
              <w:right w:val="single" w:sz="4" w:space="0" w:color="auto"/>
            </w:tcBorders>
            <w:shd w:val="clear" w:color="auto" w:fill="auto"/>
            <w:noWrap/>
            <w:vAlign w:val="bottom"/>
            <w:hideMark/>
          </w:tcPr>
          <w:p w14:paraId="0044B9DD"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7,0%</w:t>
            </w:r>
          </w:p>
        </w:tc>
        <w:tc>
          <w:tcPr>
            <w:tcW w:w="1324" w:type="dxa"/>
            <w:tcBorders>
              <w:top w:val="nil"/>
              <w:left w:val="nil"/>
              <w:bottom w:val="single" w:sz="4" w:space="0" w:color="auto"/>
              <w:right w:val="single" w:sz="4" w:space="0" w:color="auto"/>
            </w:tcBorders>
            <w:shd w:val="clear" w:color="auto" w:fill="auto"/>
            <w:noWrap/>
            <w:vAlign w:val="bottom"/>
            <w:hideMark/>
          </w:tcPr>
          <w:p w14:paraId="679B0E1A"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2,6%</w:t>
            </w:r>
          </w:p>
        </w:tc>
        <w:tc>
          <w:tcPr>
            <w:tcW w:w="1172" w:type="dxa"/>
            <w:tcBorders>
              <w:top w:val="nil"/>
              <w:left w:val="nil"/>
              <w:bottom w:val="single" w:sz="4" w:space="0" w:color="auto"/>
              <w:right w:val="single" w:sz="4" w:space="0" w:color="auto"/>
            </w:tcBorders>
            <w:shd w:val="clear" w:color="auto" w:fill="auto"/>
            <w:noWrap/>
            <w:vAlign w:val="bottom"/>
            <w:hideMark/>
          </w:tcPr>
          <w:p w14:paraId="4278EBD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10,1%</w:t>
            </w:r>
          </w:p>
        </w:tc>
        <w:tc>
          <w:tcPr>
            <w:tcW w:w="1172" w:type="dxa"/>
            <w:tcBorders>
              <w:top w:val="nil"/>
              <w:left w:val="nil"/>
              <w:bottom w:val="single" w:sz="4" w:space="0" w:color="auto"/>
              <w:right w:val="single" w:sz="4" w:space="0" w:color="auto"/>
            </w:tcBorders>
            <w:shd w:val="clear" w:color="auto" w:fill="auto"/>
            <w:noWrap/>
            <w:vAlign w:val="bottom"/>
            <w:hideMark/>
          </w:tcPr>
          <w:p w14:paraId="33FC6AA7"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3,8%</w:t>
            </w:r>
          </w:p>
        </w:tc>
        <w:tc>
          <w:tcPr>
            <w:tcW w:w="1172" w:type="dxa"/>
            <w:tcBorders>
              <w:top w:val="nil"/>
              <w:left w:val="nil"/>
              <w:bottom w:val="single" w:sz="4" w:space="0" w:color="auto"/>
              <w:right w:val="single" w:sz="4" w:space="0" w:color="auto"/>
            </w:tcBorders>
            <w:shd w:val="clear" w:color="auto" w:fill="auto"/>
            <w:noWrap/>
            <w:vAlign w:val="bottom"/>
            <w:hideMark/>
          </w:tcPr>
          <w:p w14:paraId="75945072"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2,0%</w:t>
            </w:r>
          </w:p>
        </w:tc>
        <w:tc>
          <w:tcPr>
            <w:tcW w:w="1685" w:type="dxa"/>
            <w:tcBorders>
              <w:top w:val="nil"/>
              <w:left w:val="nil"/>
              <w:bottom w:val="single" w:sz="4" w:space="0" w:color="auto"/>
              <w:right w:val="single" w:sz="4" w:space="0" w:color="auto"/>
            </w:tcBorders>
            <w:shd w:val="clear" w:color="auto" w:fill="auto"/>
            <w:noWrap/>
            <w:vAlign w:val="bottom"/>
            <w:hideMark/>
          </w:tcPr>
          <w:p w14:paraId="55DF2611" w14:textId="77777777" w:rsidR="00A45E15" w:rsidRPr="00AF1F1F" w:rsidRDefault="00A45E15" w:rsidP="005E55AE">
            <w:pPr>
              <w:spacing w:line="240" w:lineRule="auto"/>
              <w:jc w:val="center"/>
              <w:rPr>
                <w:rFonts w:eastAsia="Times New Roman" w:cs="Times New Roman"/>
                <w:color w:val="000000"/>
                <w:sz w:val="20"/>
                <w:szCs w:val="20"/>
              </w:rPr>
            </w:pPr>
            <w:r w:rsidRPr="00AF1F1F">
              <w:rPr>
                <w:rFonts w:eastAsia="Times New Roman" w:cs="Times New Roman"/>
                <w:color w:val="000000"/>
                <w:sz w:val="20"/>
                <w:szCs w:val="20"/>
              </w:rPr>
              <w:t>6,4%</w:t>
            </w:r>
          </w:p>
        </w:tc>
      </w:tr>
      <w:tr w:rsidR="005404F2" w:rsidRPr="00AF1F1F" w14:paraId="2B740180" w14:textId="77777777" w:rsidTr="005E55AE">
        <w:trPr>
          <w:trHeight w:hRule="exact" w:val="376"/>
          <w:jc w:val="center"/>
        </w:trPr>
        <w:tc>
          <w:tcPr>
            <w:tcW w:w="3388" w:type="dxa"/>
            <w:tcBorders>
              <w:top w:val="nil"/>
              <w:left w:val="single" w:sz="4" w:space="0" w:color="auto"/>
              <w:bottom w:val="single" w:sz="4" w:space="0" w:color="auto"/>
              <w:right w:val="single" w:sz="4" w:space="0" w:color="auto"/>
            </w:tcBorders>
            <w:shd w:val="clear" w:color="000000" w:fill="BDD7EE"/>
            <w:vAlign w:val="center"/>
            <w:hideMark/>
          </w:tcPr>
          <w:p w14:paraId="3D5A1725" w14:textId="77777777" w:rsidR="00A45E15" w:rsidRPr="00AF1F1F" w:rsidRDefault="00A45E15" w:rsidP="00A45E15">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Total operativos</w:t>
            </w:r>
          </w:p>
        </w:tc>
        <w:tc>
          <w:tcPr>
            <w:tcW w:w="1172" w:type="dxa"/>
            <w:tcBorders>
              <w:top w:val="nil"/>
              <w:left w:val="nil"/>
              <w:bottom w:val="single" w:sz="4" w:space="0" w:color="auto"/>
              <w:right w:val="single" w:sz="4" w:space="0" w:color="auto"/>
            </w:tcBorders>
            <w:shd w:val="clear" w:color="000000" w:fill="BDD7EE"/>
            <w:vAlign w:val="center"/>
            <w:hideMark/>
          </w:tcPr>
          <w:p w14:paraId="4436B2CB"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9,5%</w:t>
            </w:r>
          </w:p>
        </w:tc>
        <w:tc>
          <w:tcPr>
            <w:tcW w:w="1324" w:type="dxa"/>
            <w:tcBorders>
              <w:top w:val="nil"/>
              <w:left w:val="nil"/>
              <w:bottom w:val="single" w:sz="4" w:space="0" w:color="auto"/>
              <w:right w:val="single" w:sz="4" w:space="0" w:color="auto"/>
            </w:tcBorders>
            <w:shd w:val="clear" w:color="000000" w:fill="BDD7EE"/>
            <w:vAlign w:val="center"/>
            <w:hideMark/>
          </w:tcPr>
          <w:p w14:paraId="0175F31C"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3,7%</w:t>
            </w:r>
          </w:p>
        </w:tc>
        <w:tc>
          <w:tcPr>
            <w:tcW w:w="1172" w:type="dxa"/>
            <w:tcBorders>
              <w:top w:val="nil"/>
              <w:left w:val="nil"/>
              <w:bottom w:val="single" w:sz="4" w:space="0" w:color="auto"/>
              <w:right w:val="single" w:sz="4" w:space="0" w:color="auto"/>
            </w:tcBorders>
            <w:shd w:val="clear" w:color="000000" w:fill="BDD7EE"/>
            <w:vAlign w:val="center"/>
            <w:hideMark/>
          </w:tcPr>
          <w:p w14:paraId="24FC3916"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8,5%</w:t>
            </w:r>
          </w:p>
        </w:tc>
        <w:tc>
          <w:tcPr>
            <w:tcW w:w="1172" w:type="dxa"/>
            <w:tcBorders>
              <w:top w:val="nil"/>
              <w:left w:val="nil"/>
              <w:bottom w:val="single" w:sz="4" w:space="0" w:color="auto"/>
              <w:right w:val="single" w:sz="4" w:space="0" w:color="auto"/>
            </w:tcBorders>
            <w:shd w:val="clear" w:color="000000" w:fill="BDD7EE"/>
            <w:vAlign w:val="center"/>
            <w:hideMark/>
          </w:tcPr>
          <w:p w14:paraId="7B26D882"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2,9%</w:t>
            </w:r>
          </w:p>
        </w:tc>
        <w:tc>
          <w:tcPr>
            <w:tcW w:w="1172" w:type="dxa"/>
            <w:tcBorders>
              <w:top w:val="nil"/>
              <w:left w:val="nil"/>
              <w:bottom w:val="single" w:sz="4" w:space="0" w:color="auto"/>
              <w:right w:val="single" w:sz="4" w:space="0" w:color="auto"/>
            </w:tcBorders>
            <w:shd w:val="clear" w:color="000000" w:fill="BDD7EE"/>
            <w:vAlign w:val="center"/>
            <w:hideMark/>
          </w:tcPr>
          <w:p w14:paraId="1C4CDE90"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2,9%</w:t>
            </w:r>
          </w:p>
        </w:tc>
        <w:tc>
          <w:tcPr>
            <w:tcW w:w="1685" w:type="dxa"/>
            <w:tcBorders>
              <w:top w:val="nil"/>
              <w:left w:val="nil"/>
              <w:bottom w:val="single" w:sz="4" w:space="0" w:color="auto"/>
              <w:right w:val="single" w:sz="4" w:space="0" w:color="auto"/>
            </w:tcBorders>
            <w:shd w:val="clear" w:color="000000" w:fill="BDD7EE"/>
            <w:vAlign w:val="center"/>
            <w:hideMark/>
          </w:tcPr>
          <w:p w14:paraId="4C0308C3" w14:textId="77777777" w:rsidR="00A45E15" w:rsidRPr="00AF1F1F" w:rsidRDefault="00A45E15" w:rsidP="005E55AE">
            <w:pPr>
              <w:spacing w:line="240" w:lineRule="auto"/>
              <w:jc w:val="center"/>
              <w:rPr>
                <w:rFonts w:eastAsia="Times New Roman" w:cs="Times New Roman"/>
                <w:b/>
                <w:bCs/>
                <w:color w:val="000000"/>
                <w:sz w:val="20"/>
                <w:szCs w:val="20"/>
              </w:rPr>
            </w:pPr>
            <w:r w:rsidRPr="00AF1F1F">
              <w:rPr>
                <w:rFonts w:eastAsia="Times New Roman" w:cs="Times New Roman"/>
                <w:b/>
                <w:bCs/>
                <w:color w:val="000000"/>
                <w:sz w:val="20"/>
                <w:szCs w:val="20"/>
              </w:rPr>
              <w:t>8,1%</w:t>
            </w:r>
          </w:p>
        </w:tc>
      </w:tr>
    </w:tbl>
    <w:p w14:paraId="2CB6D35A" w14:textId="77777777" w:rsidR="00900D5B" w:rsidRDefault="00C70F0F">
      <w:pPr>
        <w:ind w:left="2280" w:firstLine="600"/>
        <w:rPr>
          <w:sz w:val="18"/>
          <w:szCs w:val="18"/>
        </w:rPr>
      </w:pPr>
      <w:r>
        <w:rPr>
          <w:sz w:val="18"/>
          <w:szCs w:val="18"/>
        </w:rPr>
        <w:t>Fuente: elaboración propia en base a datos EISAAR</w:t>
      </w:r>
    </w:p>
    <w:p w14:paraId="7CD6FAAF" w14:textId="77777777" w:rsidR="00900D5B" w:rsidRDefault="00900D5B">
      <w:pPr>
        <w:jc w:val="center"/>
        <w:rPr>
          <w:sz w:val="18"/>
          <w:szCs w:val="18"/>
        </w:rPr>
      </w:pPr>
    </w:p>
    <w:p w14:paraId="5E5C075B" w14:textId="1A8905B7" w:rsidR="00900D5B" w:rsidRPr="00E944FA" w:rsidRDefault="00C70F0F">
      <w:pPr>
        <w:rPr>
          <w:sz w:val="22"/>
        </w:rPr>
      </w:pPr>
      <w:r w:rsidRPr="00E944FA">
        <w:rPr>
          <w:sz w:val="22"/>
        </w:rPr>
        <w:t xml:space="preserve">La mayor frecuencia de lesiones de causa externa referida por los entrevistados fue </w:t>
      </w:r>
      <w:r w:rsidRPr="00E944FA">
        <w:rPr>
          <w:sz w:val="22"/>
        </w:rPr>
        <w:lastRenderedPageBreak/>
        <w:t xml:space="preserve">accidente de tránsito con el </w:t>
      </w:r>
      <w:r w:rsidR="00CE6217" w:rsidRPr="00E944FA">
        <w:rPr>
          <w:sz w:val="22"/>
        </w:rPr>
        <w:t>0,9</w:t>
      </w:r>
      <w:r w:rsidRPr="00E944FA">
        <w:rPr>
          <w:sz w:val="22"/>
        </w:rPr>
        <w:t>% (1</w:t>
      </w:r>
      <w:r w:rsidR="00CE6217" w:rsidRPr="00E944FA">
        <w:rPr>
          <w:sz w:val="22"/>
        </w:rPr>
        <w:t>55</w:t>
      </w:r>
      <w:r w:rsidRPr="00E944FA">
        <w:rPr>
          <w:sz w:val="22"/>
        </w:rPr>
        <w:t>), lo menos frecuente fueron los accidentes por inmersión con el 0</w:t>
      </w:r>
      <w:r w:rsidR="00CE6217" w:rsidRPr="00E944FA">
        <w:rPr>
          <w:sz w:val="22"/>
        </w:rPr>
        <w:t>,01</w:t>
      </w:r>
      <w:r w:rsidRPr="00E944FA">
        <w:rPr>
          <w:sz w:val="22"/>
        </w:rPr>
        <w:t>% (1 caso en barrio Luján</w:t>
      </w:r>
      <w:r w:rsidR="00CE6217" w:rsidRPr="00E944FA">
        <w:rPr>
          <w:sz w:val="22"/>
        </w:rPr>
        <w:t xml:space="preserve">, Ezeiza, y 1 caso en </w:t>
      </w:r>
      <w:proofErr w:type="spellStart"/>
      <w:r w:rsidR="00CE6217" w:rsidRPr="00E944FA">
        <w:rPr>
          <w:sz w:val="22"/>
        </w:rPr>
        <w:t>Sakura</w:t>
      </w:r>
      <w:proofErr w:type="spellEnd"/>
      <w:r w:rsidR="00CE6217" w:rsidRPr="00E944FA">
        <w:rPr>
          <w:sz w:val="22"/>
        </w:rPr>
        <w:t>, Almirante Brown</w:t>
      </w:r>
      <w:r w:rsidRPr="00E944FA">
        <w:rPr>
          <w:sz w:val="22"/>
        </w:rPr>
        <w:t xml:space="preserve">).  </w:t>
      </w:r>
    </w:p>
    <w:p w14:paraId="0B930A99" w14:textId="77777777" w:rsidR="00900D5B" w:rsidRPr="00E944FA" w:rsidRDefault="00900D5B">
      <w:pPr>
        <w:ind w:firstLine="420"/>
        <w:rPr>
          <w:sz w:val="22"/>
        </w:rPr>
      </w:pPr>
    </w:p>
    <w:p w14:paraId="230A4F93" w14:textId="2570F276" w:rsidR="00900D5B" w:rsidRPr="00E944FA" w:rsidRDefault="00C70F0F">
      <w:pPr>
        <w:ind w:firstLine="0"/>
        <w:rPr>
          <w:sz w:val="22"/>
        </w:rPr>
      </w:pPr>
      <w:r w:rsidRPr="00E944FA">
        <w:rPr>
          <w:b/>
          <w:sz w:val="22"/>
        </w:rPr>
        <w:t xml:space="preserve">Tabla </w:t>
      </w:r>
      <w:r w:rsidR="00C06348" w:rsidRPr="00E944FA">
        <w:rPr>
          <w:b/>
          <w:sz w:val="22"/>
        </w:rPr>
        <w:t>10</w:t>
      </w:r>
      <w:r w:rsidRPr="00E944FA">
        <w:rPr>
          <w:b/>
          <w:sz w:val="22"/>
        </w:rPr>
        <w:t>:</w:t>
      </w:r>
      <w:r w:rsidRPr="00E944FA">
        <w:rPr>
          <w:sz w:val="22"/>
        </w:rPr>
        <w:t xml:space="preserve"> Lesiones por causas externas referidos por las personas en el último año. Barrios relevados de la CMR, enero-</w:t>
      </w:r>
      <w:r w:rsidR="00A45E15" w:rsidRPr="00E944FA">
        <w:rPr>
          <w:sz w:val="22"/>
        </w:rPr>
        <w:t xml:space="preserve">octubre </w:t>
      </w:r>
      <w:r w:rsidRPr="00E944FA">
        <w:rPr>
          <w:sz w:val="22"/>
        </w:rPr>
        <w:t>2019.  N=</w:t>
      </w:r>
      <w:r w:rsidR="00A45E15" w:rsidRPr="00E944FA">
        <w:rPr>
          <w:sz w:val="22"/>
        </w:rPr>
        <w:t>17146.</w:t>
      </w:r>
    </w:p>
    <w:p w14:paraId="5D9B7286" w14:textId="77777777" w:rsidR="00900D5B" w:rsidRDefault="00900D5B">
      <w:pPr>
        <w:ind w:firstLine="0"/>
      </w:pPr>
    </w:p>
    <w:tbl>
      <w:tblPr>
        <w:tblW w:w="9661" w:type="dxa"/>
        <w:jc w:val="center"/>
        <w:tblLayout w:type="fixed"/>
        <w:tblCellMar>
          <w:left w:w="70" w:type="dxa"/>
          <w:right w:w="70" w:type="dxa"/>
        </w:tblCellMar>
        <w:tblLook w:val="04A0" w:firstRow="1" w:lastRow="0" w:firstColumn="1" w:lastColumn="0" w:noHBand="0" w:noVBand="1"/>
      </w:tblPr>
      <w:tblGrid>
        <w:gridCol w:w="4030"/>
        <w:gridCol w:w="1227"/>
        <w:gridCol w:w="1223"/>
        <w:gridCol w:w="1468"/>
        <w:gridCol w:w="1713"/>
      </w:tblGrid>
      <w:tr w:rsidR="00A45E15" w:rsidRPr="00301F08" w14:paraId="4A332855" w14:textId="77777777" w:rsidTr="00E944FA">
        <w:trPr>
          <w:cantSplit/>
          <w:trHeight w:hRule="exact" w:val="792"/>
          <w:tblHeader/>
          <w:jc w:val="center"/>
        </w:trPr>
        <w:tc>
          <w:tcPr>
            <w:tcW w:w="403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F855A65" w14:textId="77777777" w:rsidR="00A45E15" w:rsidRPr="00E944FA" w:rsidRDefault="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Barrio</w:t>
            </w:r>
          </w:p>
        </w:tc>
        <w:tc>
          <w:tcPr>
            <w:tcW w:w="1227" w:type="dxa"/>
            <w:tcBorders>
              <w:top w:val="single" w:sz="4" w:space="0" w:color="auto"/>
              <w:left w:val="nil"/>
              <w:bottom w:val="single" w:sz="4" w:space="0" w:color="auto"/>
              <w:right w:val="single" w:sz="4" w:space="0" w:color="auto"/>
            </w:tcBorders>
            <w:shd w:val="clear" w:color="000000" w:fill="BDD7EE"/>
            <w:vAlign w:val="center"/>
            <w:hideMark/>
          </w:tcPr>
          <w:p w14:paraId="29E994C2" w14:textId="77777777" w:rsidR="00A45E15" w:rsidRPr="00E944FA" w:rsidRDefault="00A45E15"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Accidente de tránsito</w:t>
            </w:r>
          </w:p>
        </w:tc>
        <w:tc>
          <w:tcPr>
            <w:tcW w:w="1223" w:type="dxa"/>
            <w:tcBorders>
              <w:top w:val="single" w:sz="4" w:space="0" w:color="auto"/>
              <w:left w:val="nil"/>
              <w:bottom w:val="single" w:sz="4" w:space="0" w:color="auto"/>
              <w:right w:val="single" w:sz="4" w:space="0" w:color="auto"/>
            </w:tcBorders>
            <w:shd w:val="clear" w:color="000000" w:fill="BDD7EE"/>
            <w:vAlign w:val="center"/>
            <w:hideMark/>
          </w:tcPr>
          <w:p w14:paraId="00FC9592" w14:textId="77777777" w:rsidR="00A45E15" w:rsidRPr="00E944FA" w:rsidRDefault="00A45E15"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Caída de altura</w:t>
            </w:r>
          </w:p>
        </w:tc>
        <w:tc>
          <w:tcPr>
            <w:tcW w:w="1468" w:type="dxa"/>
            <w:tcBorders>
              <w:top w:val="single" w:sz="4" w:space="0" w:color="auto"/>
              <w:left w:val="nil"/>
              <w:bottom w:val="single" w:sz="4" w:space="0" w:color="auto"/>
              <w:right w:val="single" w:sz="4" w:space="0" w:color="auto"/>
            </w:tcBorders>
            <w:shd w:val="clear" w:color="000000" w:fill="BDD7EE"/>
            <w:vAlign w:val="center"/>
            <w:hideMark/>
          </w:tcPr>
          <w:p w14:paraId="7502B344" w14:textId="77777777" w:rsidR="00A45E15" w:rsidRPr="00E944FA" w:rsidRDefault="00A45E15"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Incendio o quemaduras</w:t>
            </w:r>
          </w:p>
        </w:tc>
        <w:tc>
          <w:tcPr>
            <w:tcW w:w="1713" w:type="dxa"/>
            <w:tcBorders>
              <w:top w:val="single" w:sz="4" w:space="0" w:color="auto"/>
              <w:left w:val="nil"/>
              <w:bottom w:val="single" w:sz="4" w:space="0" w:color="auto"/>
              <w:right w:val="single" w:sz="4" w:space="0" w:color="auto"/>
            </w:tcBorders>
            <w:shd w:val="clear" w:color="000000" w:fill="BDD7EE"/>
            <w:vAlign w:val="center"/>
            <w:hideMark/>
          </w:tcPr>
          <w:p w14:paraId="03A41E83" w14:textId="77777777" w:rsidR="00A45E15" w:rsidRPr="00E944FA" w:rsidRDefault="00A45E15"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Accidente por inmersión</w:t>
            </w:r>
          </w:p>
        </w:tc>
      </w:tr>
      <w:tr w:rsidR="00A45E15" w:rsidRPr="00301F08" w14:paraId="1462F64B"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79F2D2E"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1 de Octubre (Lomas de Zamora)</w:t>
            </w:r>
          </w:p>
        </w:tc>
        <w:tc>
          <w:tcPr>
            <w:tcW w:w="1227" w:type="dxa"/>
            <w:tcBorders>
              <w:top w:val="nil"/>
              <w:left w:val="nil"/>
              <w:bottom w:val="single" w:sz="4" w:space="0" w:color="auto"/>
              <w:right w:val="single" w:sz="4" w:space="0" w:color="auto"/>
            </w:tcBorders>
            <w:shd w:val="clear" w:color="auto" w:fill="auto"/>
            <w:noWrap/>
            <w:vAlign w:val="center"/>
            <w:hideMark/>
          </w:tcPr>
          <w:p w14:paraId="2095118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1,6%</w:t>
            </w:r>
          </w:p>
        </w:tc>
        <w:tc>
          <w:tcPr>
            <w:tcW w:w="1223" w:type="dxa"/>
            <w:tcBorders>
              <w:top w:val="nil"/>
              <w:left w:val="nil"/>
              <w:bottom w:val="single" w:sz="4" w:space="0" w:color="auto"/>
              <w:right w:val="single" w:sz="4" w:space="0" w:color="auto"/>
            </w:tcBorders>
            <w:shd w:val="clear" w:color="auto" w:fill="auto"/>
            <w:noWrap/>
            <w:vAlign w:val="center"/>
            <w:hideMark/>
          </w:tcPr>
          <w:p w14:paraId="11CF583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5A790C5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70DAC92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E373D16"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38F661A"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2 de mayo (Lomas de Zamora)</w:t>
            </w:r>
          </w:p>
        </w:tc>
        <w:tc>
          <w:tcPr>
            <w:tcW w:w="1227" w:type="dxa"/>
            <w:tcBorders>
              <w:top w:val="nil"/>
              <w:left w:val="nil"/>
              <w:bottom w:val="single" w:sz="4" w:space="0" w:color="auto"/>
              <w:right w:val="single" w:sz="4" w:space="0" w:color="auto"/>
            </w:tcBorders>
            <w:shd w:val="clear" w:color="auto" w:fill="auto"/>
            <w:noWrap/>
            <w:vAlign w:val="center"/>
            <w:hideMark/>
          </w:tcPr>
          <w:p w14:paraId="1F4CB88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1,0%</w:t>
            </w:r>
          </w:p>
        </w:tc>
        <w:tc>
          <w:tcPr>
            <w:tcW w:w="1223" w:type="dxa"/>
            <w:tcBorders>
              <w:top w:val="nil"/>
              <w:left w:val="nil"/>
              <w:bottom w:val="single" w:sz="4" w:space="0" w:color="auto"/>
              <w:right w:val="single" w:sz="4" w:space="0" w:color="auto"/>
            </w:tcBorders>
            <w:shd w:val="clear" w:color="auto" w:fill="auto"/>
            <w:noWrap/>
            <w:vAlign w:val="center"/>
            <w:hideMark/>
          </w:tcPr>
          <w:p w14:paraId="5D4FFF0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60F70C7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00A67DD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7CDFC551"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82F3880" w14:textId="092CBB93" w:rsidR="00A45E15" w:rsidRPr="00E944FA" w:rsidRDefault="00A45E15"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24 viviendas (Lomas d</w:t>
            </w:r>
            <w:r w:rsidR="005404F2" w:rsidRPr="00E944FA">
              <w:rPr>
                <w:rFonts w:eastAsia="Times New Roman" w:cs="Times New Roman"/>
                <w:color w:val="000000"/>
                <w:sz w:val="20"/>
                <w:szCs w:val="20"/>
              </w:rPr>
              <w:t xml:space="preserve">e </w:t>
            </w:r>
            <w:r w:rsidRPr="00E944FA">
              <w:rPr>
                <w:rFonts w:eastAsia="Times New Roman" w:cs="Times New Roman"/>
                <w:color w:val="000000"/>
                <w:sz w:val="20"/>
                <w:szCs w:val="20"/>
              </w:rPr>
              <w:t>Zamora)</w:t>
            </w:r>
          </w:p>
        </w:tc>
        <w:tc>
          <w:tcPr>
            <w:tcW w:w="1227" w:type="dxa"/>
            <w:tcBorders>
              <w:top w:val="nil"/>
              <w:left w:val="nil"/>
              <w:bottom w:val="single" w:sz="4" w:space="0" w:color="auto"/>
              <w:right w:val="single" w:sz="4" w:space="0" w:color="auto"/>
            </w:tcBorders>
            <w:shd w:val="clear" w:color="auto" w:fill="auto"/>
            <w:noWrap/>
            <w:vAlign w:val="center"/>
            <w:hideMark/>
          </w:tcPr>
          <w:p w14:paraId="4697851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3DD9ABE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62A3BF7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3EF5F5B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A452AA3" w14:textId="77777777" w:rsidTr="00D01016">
        <w:trPr>
          <w:trHeight w:hRule="exact" w:val="515"/>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6D147281" w14:textId="77777777" w:rsidR="005E55AE"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9 de </w:t>
            </w:r>
            <w:proofErr w:type="gramStart"/>
            <w:r w:rsidRPr="00E944FA">
              <w:rPr>
                <w:rFonts w:eastAsia="Times New Roman" w:cs="Times New Roman"/>
                <w:color w:val="000000"/>
                <w:sz w:val="20"/>
                <w:szCs w:val="20"/>
              </w:rPr>
              <w:t>Enero</w:t>
            </w:r>
            <w:proofErr w:type="gramEnd"/>
            <w:r w:rsidRPr="00E944FA">
              <w:rPr>
                <w:rFonts w:eastAsia="Times New Roman" w:cs="Times New Roman"/>
                <w:color w:val="000000"/>
                <w:sz w:val="20"/>
                <w:szCs w:val="20"/>
              </w:rPr>
              <w:t xml:space="preserve"> /Los Álamos</w:t>
            </w:r>
          </w:p>
          <w:p w14:paraId="2FA1A6D8" w14:textId="4479BB18"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678A6E0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223" w:type="dxa"/>
            <w:tcBorders>
              <w:top w:val="nil"/>
              <w:left w:val="nil"/>
              <w:bottom w:val="single" w:sz="4" w:space="0" w:color="auto"/>
              <w:right w:val="single" w:sz="4" w:space="0" w:color="auto"/>
            </w:tcBorders>
            <w:shd w:val="clear" w:color="auto" w:fill="auto"/>
            <w:noWrap/>
            <w:vAlign w:val="center"/>
            <w:hideMark/>
          </w:tcPr>
          <w:p w14:paraId="44AC004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468" w:type="dxa"/>
            <w:tcBorders>
              <w:top w:val="nil"/>
              <w:left w:val="nil"/>
              <w:bottom w:val="single" w:sz="4" w:space="0" w:color="auto"/>
              <w:right w:val="single" w:sz="4" w:space="0" w:color="auto"/>
            </w:tcBorders>
            <w:shd w:val="clear" w:color="auto" w:fill="auto"/>
            <w:noWrap/>
            <w:vAlign w:val="center"/>
            <w:hideMark/>
          </w:tcPr>
          <w:p w14:paraId="15934F5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0,3%</w:t>
            </w:r>
          </w:p>
        </w:tc>
        <w:tc>
          <w:tcPr>
            <w:tcW w:w="1713" w:type="dxa"/>
            <w:tcBorders>
              <w:top w:val="nil"/>
              <w:left w:val="nil"/>
              <w:bottom w:val="single" w:sz="4" w:space="0" w:color="auto"/>
              <w:right w:val="single" w:sz="4" w:space="0" w:color="auto"/>
            </w:tcBorders>
            <w:shd w:val="clear" w:color="auto" w:fill="auto"/>
            <w:noWrap/>
            <w:vAlign w:val="center"/>
            <w:hideMark/>
          </w:tcPr>
          <w:p w14:paraId="4F57117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CDCB83F"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A81A275"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Libertad (Cañuelas)</w:t>
            </w:r>
          </w:p>
        </w:tc>
        <w:tc>
          <w:tcPr>
            <w:tcW w:w="1227" w:type="dxa"/>
            <w:tcBorders>
              <w:top w:val="nil"/>
              <w:left w:val="nil"/>
              <w:bottom w:val="single" w:sz="4" w:space="0" w:color="auto"/>
              <w:right w:val="single" w:sz="4" w:space="0" w:color="auto"/>
            </w:tcBorders>
            <w:shd w:val="clear" w:color="auto" w:fill="auto"/>
            <w:noWrap/>
            <w:vAlign w:val="center"/>
            <w:hideMark/>
          </w:tcPr>
          <w:p w14:paraId="4A4223E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1,3%</w:t>
            </w:r>
          </w:p>
        </w:tc>
        <w:tc>
          <w:tcPr>
            <w:tcW w:w="1223" w:type="dxa"/>
            <w:tcBorders>
              <w:top w:val="nil"/>
              <w:left w:val="nil"/>
              <w:bottom w:val="single" w:sz="4" w:space="0" w:color="auto"/>
              <w:right w:val="single" w:sz="4" w:space="0" w:color="auto"/>
            </w:tcBorders>
            <w:shd w:val="clear" w:color="auto" w:fill="auto"/>
            <w:noWrap/>
            <w:vAlign w:val="center"/>
            <w:hideMark/>
          </w:tcPr>
          <w:p w14:paraId="6668B7C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468" w:type="dxa"/>
            <w:tcBorders>
              <w:top w:val="nil"/>
              <w:left w:val="nil"/>
              <w:bottom w:val="single" w:sz="4" w:space="0" w:color="auto"/>
              <w:right w:val="single" w:sz="4" w:space="0" w:color="auto"/>
            </w:tcBorders>
            <w:shd w:val="clear" w:color="auto" w:fill="auto"/>
            <w:noWrap/>
            <w:vAlign w:val="center"/>
            <w:hideMark/>
          </w:tcPr>
          <w:p w14:paraId="5A600D9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713" w:type="dxa"/>
            <w:tcBorders>
              <w:top w:val="nil"/>
              <w:left w:val="nil"/>
              <w:bottom w:val="single" w:sz="4" w:space="0" w:color="auto"/>
              <w:right w:val="single" w:sz="4" w:space="0" w:color="auto"/>
            </w:tcBorders>
            <w:shd w:val="clear" w:color="auto" w:fill="auto"/>
            <w:noWrap/>
            <w:vAlign w:val="center"/>
            <w:hideMark/>
          </w:tcPr>
          <w:p w14:paraId="31F7073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E7F0EB5"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6A953EF9"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Nuevo (Merlo)</w:t>
            </w:r>
          </w:p>
        </w:tc>
        <w:tc>
          <w:tcPr>
            <w:tcW w:w="1227" w:type="dxa"/>
            <w:tcBorders>
              <w:top w:val="nil"/>
              <w:left w:val="nil"/>
              <w:bottom w:val="single" w:sz="4" w:space="0" w:color="auto"/>
              <w:right w:val="single" w:sz="4" w:space="0" w:color="auto"/>
            </w:tcBorders>
            <w:shd w:val="clear" w:color="auto" w:fill="auto"/>
            <w:noWrap/>
            <w:vAlign w:val="center"/>
            <w:hideMark/>
          </w:tcPr>
          <w:p w14:paraId="7A9DBA7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223" w:type="dxa"/>
            <w:tcBorders>
              <w:top w:val="nil"/>
              <w:left w:val="nil"/>
              <w:bottom w:val="single" w:sz="4" w:space="0" w:color="auto"/>
              <w:right w:val="single" w:sz="4" w:space="0" w:color="auto"/>
            </w:tcBorders>
            <w:shd w:val="clear" w:color="auto" w:fill="auto"/>
            <w:noWrap/>
            <w:vAlign w:val="center"/>
            <w:hideMark/>
          </w:tcPr>
          <w:p w14:paraId="100813B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468" w:type="dxa"/>
            <w:tcBorders>
              <w:top w:val="nil"/>
              <w:left w:val="nil"/>
              <w:bottom w:val="single" w:sz="4" w:space="0" w:color="auto"/>
              <w:right w:val="single" w:sz="4" w:space="0" w:color="auto"/>
            </w:tcBorders>
            <w:shd w:val="clear" w:color="auto" w:fill="auto"/>
            <w:noWrap/>
            <w:vAlign w:val="center"/>
            <w:hideMark/>
          </w:tcPr>
          <w:p w14:paraId="20E855D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713" w:type="dxa"/>
            <w:tcBorders>
              <w:top w:val="nil"/>
              <w:left w:val="nil"/>
              <w:bottom w:val="single" w:sz="4" w:space="0" w:color="auto"/>
              <w:right w:val="single" w:sz="4" w:space="0" w:color="auto"/>
            </w:tcBorders>
            <w:shd w:val="clear" w:color="auto" w:fill="auto"/>
            <w:noWrap/>
            <w:vAlign w:val="center"/>
            <w:hideMark/>
          </w:tcPr>
          <w:p w14:paraId="0C31686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AC9D270"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4B64270C"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Obrero (CABA)</w:t>
            </w:r>
          </w:p>
        </w:tc>
        <w:tc>
          <w:tcPr>
            <w:tcW w:w="1227" w:type="dxa"/>
            <w:tcBorders>
              <w:top w:val="nil"/>
              <w:left w:val="nil"/>
              <w:bottom w:val="single" w:sz="4" w:space="0" w:color="auto"/>
              <w:right w:val="single" w:sz="4" w:space="0" w:color="auto"/>
            </w:tcBorders>
            <w:shd w:val="clear" w:color="auto" w:fill="auto"/>
            <w:noWrap/>
            <w:vAlign w:val="center"/>
            <w:hideMark/>
          </w:tcPr>
          <w:p w14:paraId="5C3AC36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3,5%</w:t>
            </w:r>
          </w:p>
        </w:tc>
        <w:tc>
          <w:tcPr>
            <w:tcW w:w="1223" w:type="dxa"/>
            <w:tcBorders>
              <w:top w:val="nil"/>
              <w:left w:val="nil"/>
              <w:bottom w:val="single" w:sz="4" w:space="0" w:color="auto"/>
              <w:right w:val="single" w:sz="4" w:space="0" w:color="auto"/>
            </w:tcBorders>
            <w:shd w:val="clear" w:color="auto" w:fill="auto"/>
            <w:noWrap/>
            <w:vAlign w:val="center"/>
            <w:hideMark/>
          </w:tcPr>
          <w:p w14:paraId="55677AF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7DE6590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08F2844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3B688C7"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0B9AFE70"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Bermejo (CABA)</w:t>
            </w:r>
          </w:p>
        </w:tc>
        <w:tc>
          <w:tcPr>
            <w:tcW w:w="1227" w:type="dxa"/>
            <w:tcBorders>
              <w:top w:val="nil"/>
              <w:left w:val="nil"/>
              <w:bottom w:val="single" w:sz="4" w:space="0" w:color="auto"/>
              <w:right w:val="single" w:sz="4" w:space="0" w:color="auto"/>
            </w:tcBorders>
            <w:shd w:val="clear" w:color="auto" w:fill="auto"/>
            <w:noWrap/>
            <w:vAlign w:val="center"/>
            <w:hideMark/>
          </w:tcPr>
          <w:p w14:paraId="541FC9C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1,2%</w:t>
            </w:r>
          </w:p>
        </w:tc>
        <w:tc>
          <w:tcPr>
            <w:tcW w:w="1223" w:type="dxa"/>
            <w:tcBorders>
              <w:top w:val="nil"/>
              <w:left w:val="nil"/>
              <w:bottom w:val="single" w:sz="4" w:space="0" w:color="auto"/>
              <w:right w:val="single" w:sz="4" w:space="0" w:color="auto"/>
            </w:tcBorders>
            <w:shd w:val="clear" w:color="auto" w:fill="auto"/>
            <w:noWrap/>
            <w:vAlign w:val="center"/>
            <w:hideMark/>
          </w:tcPr>
          <w:p w14:paraId="628DC9B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2,3%</w:t>
            </w:r>
          </w:p>
        </w:tc>
        <w:tc>
          <w:tcPr>
            <w:tcW w:w="1468" w:type="dxa"/>
            <w:tcBorders>
              <w:top w:val="nil"/>
              <w:left w:val="nil"/>
              <w:bottom w:val="single" w:sz="4" w:space="0" w:color="auto"/>
              <w:right w:val="single" w:sz="4" w:space="0" w:color="auto"/>
            </w:tcBorders>
            <w:shd w:val="clear" w:color="auto" w:fill="auto"/>
            <w:noWrap/>
            <w:vAlign w:val="center"/>
            <w:hideMark/>
          </w:tcPr>
          <w:p w14:paraId="748132B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713" w:type="dxa"/>
            <w:tcBorders>
              <w:top w:val="nil"/>
              <w:left w:val="nil"/>
              <w:bottom w:val="single" w:sz="4" w:space="0" w:color="auto"/>
              <w:right w:val="single" w:sz="4" w:space="0" w:color="auto"/>
            </w:tcBorders>
            <w:shd w:val="clear" w:color="auto" w:fill="auto"/>
            <w:noWrap/>
            <w:vAlign w:val="center"/>
            <w:hideMark/>
          </w:tcPr>
          <w:p w14:paraId="1B82CB1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686C325"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0CA9F617"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El Ombú (Cañuelas)</w:t>
            </w:r>
          </w:p>
        </w:tc>
        <w:tc>
          <w:tcPr>
            <w:tcW w:w="1227" w:type="dxa"/>
            <w:tcBorders>
              <w:top w:val="nil"/>
              <w:left w:val="nil"/>
              <w:bottom w:val="single" w:sz="4" w:space="0" w:color="auto"/>
              <w:right w:val="single" w:sz="4" w:space="0" w:color="auto"/>
            </w:tcBorders>
            <w:shd w:val="clear" w:color="auto" w:fill="auto"/>
            <w:noWrap/>
            <w:vAlign w:val="center"/>
            <w:hideMark/>
          </w:tcPr>
          <w:p w14:paraId="6F5281E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0,4%</w:t>
            </w:r>
          </w:p>
        </w:tc>
        <w:tc>
          <w:tcPr>
            <w:tcW w:w="1223" w:type="dxa"/>
            <w:tcBorders>
              <w:top w:val="nil"/>
              <w:left w:val="nil"/>
              <w:bottom w:val="single" w:sz="4" w:space="0" w:color="auto"/>
              <w:right w:val="single" w:sz="4" w:space="0" w:color="auto"/>
            </w:tcBorders>
            <w:shd w:val="clear" w:color="auto" w:fill="auto"/>
            <w:noWrap/>
            <w:vAlign w:val="center"/>
            <w:hideMark/>
          </w:tcPr>
          <w:p w14:paraId="4B4D976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7AB68EF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4897117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D090259"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5AF9615E"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El Parque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2C1947D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1,1%</w:t>
            </w:r>
          </w:p>
        </w:tc>
        <w:tc>
          <w:tcPr>
            <w:tcW w:w="1223" w:type="dxa"/>
            <w:tcBorders>
              <w:top w:val="nil"/>
              <w:left w:val="nil"/>
              <w:bottom w:val="single" w:sz="4" w:space="0" w:color="auto"/>
              <w:right w:val="single" w:sz="4" w:space="0" w:color="auto"/>
            </w:tcBorders>
            <w:shd w:val="clear" w:color="auto" w:fill="auto"/>
            <w:noWrap/>
            <w:vAlign w:val="center"/>
            <w:hideMark/>
          </w:tcPr>
          <w:p w14:paraId="60E4C94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440ABD6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2,3%</w:t>
            </w:r>
          </w:p>
        </w:tc>
        <w:tc>
          <w:tcPr>
            <w:tcW w:w="1713" w:type="dxa"/>
            <w:tcBorders>
              <w:top w:val="nil"/>
              <w:left w:val="nil"/>
              <w:bottom w:val="single" w:sz="4" w:space="0" w:color="auto"/>
              <w:right w:val="single" w:sz="4" w:space="0" w:color="auto"/>
            </w:tcBorders>
            <w:shd w:val="clear" w:color="auto" w:fill="auto"/>
            <w:noWrap/>
            <w:vAlign w:val="center"/>
            <w:hideMark/>
          </w:tcPr>
          <w:p w14:paraId="6B0FED2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417A0B7"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DABF7CF"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Galponeros (CABA)</w:t>
            </w:r>
          </w:p>
        </w:tc>
        <w:tc>
          <w:tcPr>
            <w:tcW w:w="1227" w:type="dxa"/>
            <w:tcBorders>
              <w:top w:val="nil"/>
              <w:left w:val="nil"/>
              <w:bottom w:val="single" w:sz="4" w:space="0" w:color="auto"/>
              <w:right w:val="single" w:sz="4" w:space="0" w:color="auto"/>
            </w:tcBorders>
            <w:shd w:val="clear" w:color="auto" w:fill="auto"/>
            <w:noWrap/>
            <w:vAlign w:val="center"/>
            <w:hideMark/>
          </w:tcPr>
          <w:p w14:paraId="094E941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26952D8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4400335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56BF4DC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3B75E958"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197D42A8"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Guemes</w:t>
            </w:r>
            <w:proofErr w:type="spellEnd"/>
            <w:r w:rsidRPr="00E944FA">
              <w:rPr>
                <w:rFonts w:eastAsia="Times New Roman" w:cs="Times New Roman"/>
                <w:color w:val="000000"/>
                <w:sz w:val="20"/>
                <w:szCs w:val="20"/>
              </w:rPr>
              <w:t xml:space="preserve"> (Ezeiza)</w:t>
            </w:r>
          </w:p>
        </w:tc>
        <w:tc>
          <w:tcPr>
            <w:tcW w:w="1227" w:type="dxa"/>
            <w:tcBorders>
              <w:top w:val="nil"/>
              <w:left w:val="nil"/>
              <w:bottom w:val="single" w:sz="4" w:space="0" w:color="auto"/>
              <w:right w:val="single" w:sz="4" w:space="0" w:color="auto"/>
            </w:tcBorders>
            <w:shd w:val="clear" w:color="auto" w:fill="auto"/>
            <w:noWrap/>
            <w:vAlign w:val="center"/>
            <w:hideMark/>
          </w:tcPr>
          <w:p w14:paraId="7572E70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1,3%</w:t>
            </w:r>
          </w:p>
        </w:tc>
        <w:tc>
          <w:tcPr>
            <w:tcW w:w="1223" w:type="dxa"/>
            <w:tcBorders>
              <w:top w:val="nil"/>
              <w:left w:val="nil"/>
              <w:bottom w:val="single" w:sz="4" w:space="0" w:color="auto"/>
              <w:right w:val="single" w:sz="4" w:space="0" w:color="auto"/>
            </w:tcBorders>
            <w:shd w:val="clear" w:color="auto" w:fill="auto"/>
            <w:noWrap/>
            <w:vAlign w:val="center"/>
            <w:hideMark/>
          </w:tcPr>
          <w:p w14:paraId="5415894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468" w:type="dxa"/>
            <w:tcBorders>
              <w:top w:val="nil"/>
              <w:left w:val="nil"/>
              <w:bottom w:val="single" w:sz="4" w:space="0" w:color="auto"/>
              <w:right w:val="single" w:sz="4" w:space="0" w:color="auto"/>
            </w:tcBorders>
            <w:shd w:val="clear" w:color="auto" w:fill="auto"/>
            <w:noWrap/>
            <w:vAlign w:val="center"/>
            <w:hideMark/>
          </w:tcPr>
          <w:p w14:paraId="59412AC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341241D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43445FA"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585ACEF"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Isla Maciel (Avellaneda)</w:t>
            </w:r>
          </w:p>
        </w:tc>
        <w:tc>
          <w:tcPr>
            <w:tcW w:w="1227" w:type="dxa"/>
            <w:tcBorders>
              <w:top w:val="nil"/>
              <w:left w:val="nil"/>
              <w:bottom w:val="single" w:sz="4" w:space="0" w:color="auto"/>
              <w:right w:val="single" w:sz="4" w:space="0" w:color="auto"/>
            </w:tcBorders>
            <w:shd w:val="clear" w:color="auto" w:fill="auto"/>
            <w:noWrap/>
            <w:vAlign w:val="center"/>
            <w:hideMark/>
          </w:tcPr>
          <w:p w14:paraId="6448301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223" w:type="dxa"/>
            <w:tcBorders>
              <w:top w:val="nil"/>
              <w:left w:val="nil"/>
              <w:bottom w:val="single" w:sz="4" w:space="0" w:color="auto"/>
              <w:right w:val="single" w:sz="4" w:space="0" w:color="auto"/>
            </w:tcBorders>
            <w:shd w:val="clear" w:color="auto" w:fill="auto"/>
            <w:noWrap/>
            <w:vAlign w:val="center"/>
            <w:hideMark/>
          </w:tcPr>
          <w:p w14:paraId="406A492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0,4%</w:t>
            </w:r>
          </w:p>
        </w:tc>
        <w:tc>
          <w:tcPr>
            <w:tcW w:w="1468" w:type="dxa"/>
            <w:tcBorders>
              <w:top w:val="nil"/>
              <w:left w:val="nil"/>
              <w:bottom w:val="single" w:sz="4" w:space="0" w:color="auto"/>
              <w:right w:val="single" w:sz="4" w:space="0" w:color="auto"/>
            </w:tcBorders>
            <w:shd w:val="clear" w:color="auto" w:fill="auto"/>
            <w:noWrap/>
            <w:vAlign w:val="center"/>
            <w:hideMark/>
          </w:tcPr>
          <w:p w14:paraId="4884889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713" w:type="dxa"/>
            <w:tcBorders>
              <w:top w:val="nil"/>
              <w:left w:val="nil"/>
              <w:bottom w:val="single" w:sz="4" w:space="0" w:color="auto"/>
              <w:right w:val="single" w:sz="4" w:space="0" w:color="auto"/>
            </w:tcBorders>
            <w:shd w:val="clear" w:color="auto" w:fill="auto"/>
            <w:noWrap/>
            <w:vAlign w:val="center"/>
            <w:hideMark/>
          </w:tcPr>
          <w:p w14:paraId="1F78467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41245356"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446D8699"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Lonja (Lomas de Zamora)</w:t>
            </w:r>
          </w:p>
        </w:tc>
        <w:tc>
          <w:tcPr>
            <w:tcW w:w="1227" w:type="dxa"/>
            <w:tcBorders>
              <w:top w:val="nil"/>
              <w:left w:val="nil"/>
              <w:bottom w:val="single" w:sz="4" w:space="0" w:color="auto"/>
              <w:right w:val="single" w:sz="4" w:space="0" w:color="auto"/>
            </w:tcBorders>
            <w:shd w:val="clear" w:color="auto" w:fill="auto"/>
            <w:noWrap/>
            <w:vAlign w:val="center"/>
            <w:hideMark/>
          </w:tcPr>
          <w:p w14:paraId="38D1824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10,0%</w:t>
            </w:r>
          </w:p>
        </w:tc>
        <w:tc>
          <w:tcPr>
            <w:tcW w:w="1223" w:type="dxa"/>
            <w:tcBorders>
              <w:top w:val="nil"/>
              <w:left w:val="nil"/>
              <w:bottom w:val="single" w:sz="4" w:space="0" w:color="auto"/>
              <w:right w:val="single" w:sz="4" w:space="0" w:color="auto"/>
            </w:tcBorders>
            <w:shd w:val="clear" w:color="auto" w:fill="auto"/>
            <w:noWrap/>
            <w:vAlign w:val="center"/>
            <w:hideMark/>
          </w:tcPr>
          <w:p w14:paraId="5880EBA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64DD9FD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0,5%</w:t>
            </w:r>
          </w:p>
        </w:tc>
        <w:tc>
          <w:tcPr>
            <w:tcW w:w="1713" w:type="dxa"/>
            <w:tcBorders>
              <w:top w:val="nil"/>
              <w:left w:val="nil"/>
              <w:bottom w:val="single" w:sz="4" w:space="0" w:color="auto"/>
              <w:right w:val="single" w:sz="4" w:space="0" w:color="auto"/>
            </w:tcBorders>
            <w:shd w:val="clear" w:color="auto" w:fill="auto"/>
            <w:noWrap/>
            <w:vAlign w:val="center"/>
            <w:hideMark/>
          </w:tcPr>
          <w:p w14:paraId="254AC99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3FA1C531"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99DEDE6"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Porteña II (Ezeiza)</w:t>
            </w:r>
          </w:p>
        </w:tc>
        <w:tc>
          <w:tcPr>
            <w:tcW w:w="1227" w:type="dxa"/>
            <w:tcBorders>
              <w:top w:val="nil"/>
              <w:left w:val="nil"/>
              <w:bottom w:val="single" w:sz="4" w:space="0" w:color="auto"/>
              <w:right w:val="single" w:sz="4" w:space="0" w:color="auto"/>
            </w:tcBorders>
            <w:shd w:val="clear" w:color="auto" w:fill="auto"/>
            <w:noWrap/>
            <w:vAlign w:val="center"/>
            <w:hideMark/>
          </w:tcPr>
          <w:p w14:paraId="2ABC5A5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1,8%</w:t>
            </w:r>
          </w:p>
        </w:tc>
        <w:tc>
          <w:tcPr>
            <w:tcW w:w="1223" w:type="dxa"/>
            <w:tcBorders>
              <w:top w:val="nil"/>
              <w:left w:val="nil"/>
              <w:bottom w:val="single" w:sz="4" w:space="0" w:color="auto"/>
              <w:right w:val="single" w:sz="4" w:space="0" w:color="auto"/>
            </w:tcBorders>
            <w:shd w:val="clear" w:color="auto" w:fill="auto"/>
            <w:noWrap/>
            <w:vAlign w:val="center"/>
            <w:hideMark/>
          </w:tcPr>
          <w:p w14:paraId="16E3520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29CF229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713" w:type="dxa"/>
            <w:tcBorders>
              <w:top w:val="nil"/>
              <w:left w:val="nil"/>
              <w:bottom w:val="single" w:sz="4" w:space="0" w:color="auto"/>
              <w:right w:val="single" w:sz="4" w:space="0" w:color="auto"/>
            </w:tcBorders>
            <w:shd w:val="clear" w:color="auto" w:fill="auto"/>
            <w:noWrap/>
            <w:vAlign w:val="center"/>
            <w:hideMark/>
          </w:tcPr>
          <w:p w14:paraId="0A6E2C2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6F465F2"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C16B288" w14:textId="5894A118" w:rsidR="00A45E15" w:rsidRPr="00E944FA" w:rsidRDefault="005404F2"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w:t>
            </w:r>
            <w:r w:rsidR="00A45E15" w:rsidRPr="00E944FA">
              <w:rPr>
                <w:rFonts w:eastAsia="Times New Roman" w:cs="Times New Roman"/>
                <w:color w:val="000000"/>
                <w:sz w:val="20"/>
                <w:szCs w:val="20"/>
              </w:rPr>
              <w:t>a Toma (Merlo)</w:t>
            </w:r>
          </w:p>
        </w:tc>
        <w:tc>
          <w:tcPr>
            <w:tcW w:w="1227" w:type="dxa"/>
            <w:tcBorders>
              <w:top w:val="nil"/>
              <w:left w:val="nil"/>
              <w:bottom w:val="single" w:sz="4" w:space="0" w:color="auto"/>
              <w:right w:val="single" w:sz="4" w:space="0" w:color="auto"/>
            </w:tcBorders>
            <w:shd w:val="clear" w:color="auto" w:fill="auto"/>
            <w:noWrap/>
            <w:vAlign w:val="center"/>
            <w:hideMark/>
          </w:tcPr>
          <w:p w14:paraId="4DCBDB0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0,4%</w:t>
            </w:r>
          </w:p>
        </w:tc>
        <w:tc>
          <w:tcPr>
            <w:tcW w:w="1223" w:type="dxa"/>
            <w:tcBorders>
              <w:top w:val="nil"/>
              <w:left w:val="nil"/>
              <w:bottom w:val="single" w:sz="4" w:space="0" w:color="auto"/>
              <w:right w:val="single" w:sz="4" w:space="0" w:color="auto"/>
            </w:tcBorders>
            <w:shd w:val="clear" w:color="auto" w:fill="auto"/>
            <w:noWrap/>
            <w:vAlign w:val="center"/>
            <w:hideMark/>
          </w:tcPr>
          <w:p w14:paraId="209F852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22C3CD3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4CA4524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264C260C"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8F7E90D"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Unión II (Cañuelas)</w:t>
            </w:r>
          </w:p>
        </w:tc>
        <w:tc>
          <w:tcPr>
            <w:tcW w:w="1227" w:type="dxa"/>
            <w:tcBorders>
              <w:top w:val="nil"/>
              <w:left w:val="nil"/>
              <w:bottom w:val="single" w:sz="4" w:space="0" w:color="auto"/>
              <w:right w:val="single" w:sz="4" w:space="0" w:color="auto"/>
            </w:tcBorders>
            <w:shd w:val="clear" w:color="auto" w:fill="auto"/>
            <w:noWrap/>
            <w:vAlign w:val="center"/>
            <w:hideMark/>
          </w:tcPr>
          <w:p w14:paraId="59B4866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223" w:type="dxa"/>
            <w:tcBorders>
              <w:top w:val="nil"/>
              <w:left w:val="nil"/>
              <w:bottom w:val="single" w:sz="4" w:space="0" w:color="auto"/>
              <w:right w:val="single" w:sz="4" w:space="0" w:color="auto"/>
            </w:tcBorders>
            <w:shd w:val="clear" w:color="auto" w:fill="auto"/>
            <w:noWrap/>
            <w:vAlign w:val="center"/>
            <w:hideMark/>
          </w:tcPr>
          <w:p w14:paraId="7D948F1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4742E46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0,3%</w:t>
            </w:r>
          </w:p>
        </w:tc>
        <w:tc>
          <w:tcPr>
            <w:tcW w:w="1713" w:type="dxa"/>
            <w:tcBorders>
              <w:top w:val="nil"/>
              <w:left w:val="nil"/>
              <w:bottom w:val="single" w:sz="4" w:space="0" w:color="auto"/>
              <w:right w:val="single" w:sz="4" w:space="0" w:color="auto"/>
            </w:tcBorders>
            <w:shd w:val="clear" w:color="auto" w:fill="auto"/>
            <w:noWrap/>
            <w:vAlign w:val="center"/>
            <w:hideMark/>
          </w:tcPr>
          <w:p w14:paraId="6C4175A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135C88E6"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525C56D3"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Laguna Brava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3B7BCCE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17704AC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49F1891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5225E8B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54AA28B5"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5FFC94AD"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Las Flores (Merlo)</w:t>
            </w:r>
          </w:p>
        </w:tc>
        <w:tc>
          <w:tcPr>
            <w:tcW w:w="1227" w:type="dxa"/>
            <w:tcBorders>
              <w:top w:val="nil"/>
              <w:left w:val="nil"/>
              <w:bottom w:val="single" w:sz="4" w:space="0" w:color="auto"/>
              <w:right w:val="single" w:sz="4" w:space="0" w:color="auto"/>
            </w:tcBorders>
            <w:shd w:val="clear" w:color="auto" w:fill="auto"/>
            <w:noWrap/>
            <w:vAlign w:val="center"/>
            <w:hideMark/>
          </w:tcPr>
          <w:p w14:paraId="77E0A8B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223" w:type="dxa"/>
            <w:tcBorders>
              <w:top w:val="nil"/>
              <w:left w:val="nil"/>
              <w:bottom w:val="single" w:sz="4" w:space="0" w:color="auto"/>
              <w:right w:val="single" w:sz="4" w:space="0" w:color="auto"/>
            </w:tcBorders>
            <w:shd w:val="clear" w:color="auto" w:fill="auto"/>
            <w:noWrap/>
            <w:vAlign w:val="center"/>
            <w:hideMark/>
          </w:tcPr>
          <w:p w14:paraId="00B5FFC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468" w:type="dxa"/>
            <w:tcBorders>
              <w:top w:val="nil"/>
              <w:left w:val="nil"/>
              <w:bottom w:val="single" w:sz="4" w:space="0" w:color="auto"/>
              <w:right w:val="single" w:sz="4" w:space="0" w:color="auto"/>
            </w:tcBorders>
            <w:shd w:val="clear" w:color="auto" w:fill="auto"/>
            <w:noWrap/>
            <w:vAlign w:val="center"/>
            <w:hideMark/>
          </w:tcPr>
          <w:p w14:paraId="61213F4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713" w:type="dxa"/>
            <w:tcBorders>
              <w:top w:val="nil"/>
              <w:left w:val="nil"/>
              <w:bottom w:val="single" w:sz="4" w:space="0" w:color="auto"/>
              <w:right w:val="single" w:sz="4" w:space="0" w:color="auto"/>
            </w:tcBorders>
            <w:shd w:val="clear" w:color="auto" w:fill="auto"/>
            <w:noWrap/>
            <w:vAlign w:val="center"/>
            <w:hideMark/>
          </w:tcPr>
          <w:p w14:paraId="5385F23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31365EA"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1EE883D8"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Las Torres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5916B20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223" w:type="dxa"/>
            <w:tcBorders>
              <w:top w:val="nil"/>
              <w:left w:val="nil"/>
              <w:bottom w:val="single" w:sz="4" w:space="0" w:color="auto"/>
              <w:right w:val="single" w:sz="4" w:space="0" w:color="auto"/>
            </w:tcBorders>
            <w:shd w:val="clear" w:color="auto" w:fill="auto"/>
            <w:noWrap/>
            <w:vAlign w:val="center"/>
            <w:hideMark/>
          </w:tcPr>
          <w:p w14:paraId="56B7EDF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0,3%</w:t>
            </w:r>
          </w:p>
        </w:tc>
        <w:tc>
          <w:tcPr>
            <w:tcW w:w="1468" w:type="dxa"/>
            <w:tcBorders>
              <w:top w:val="nil"/>
              <w:left w:val="nil"/>
              <w:bottom w:val="single" w:sz="4" w:space="0" w:color="auto"/>
              <w:right w:val="single" w:sz="4" w:space="0" w:color="auto"/>
            </w:tcBorders>
            <w:shd w:val="clear" w:color="auto" w:fill="auto"/>
            <w:noWrap/>
            <w:vAlign w:val="center"/>
            <w:hideMark/>
          </w:tcPr>
          <w:p w14:paraId="692FE9A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0,8%</w:t>
            </w:r>
          </w:p>
        </w:tc>
        <w:tc>
          <w:tcPr>
            <w:tcW w:w="1713" w:type="dxa"/>
            <w:tcBorders>
              <w:top w:val="nil"/>
              <w:left w:val="nil"/>
              <w:bottom w:val="single" w:sz="4" w:space="0" w:color="auto"/>
              <w:right w:val="single" w:sz="4" w:space="0" w:color="auto"/>
            </w:tcBorders>
            <w:shd w:val="clear" w:color="auto" w:fill="auto"/>
            <w:noWrap/>
            <w:vAlign w:val="center"/>
            <w:hideMark/>
          </w:tcPr>
          <w:p w14:paraId="6E2380D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44D9FE3E"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A39B4B8"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Libertad (Cañuelas)</w:t>
            </w:r>
          </w:p>
        </w:tc>
        <w:tc>
          <w:tcPr>
            <w:tcW w:w="1227" w:type="dxa"/>
            <w:tcBorders>
              <w:top w:val="nil"/>
              <w:left w:val="nil"/>
              <w:bottom w:val="single" w:sz="4" w:space="0" w:color="auto"/>
              <w:right w:val="single" w:sz="4" w:space="0" w:color="auto"/>
            </w:tcBorders>
            <w:shd w:val="clear" w:color="auto" w:fill="auto"/>
            <w:noWrap/>
            <w:vAlign w:val="center"/>
            <w:hideMark/>
          </w:tcPr>
          <w:p w14:paraId="12D6FA9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5C57731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0,5%</w:t>
            </w:r>
          </w:p>
        </w:tc>
        <w:tc>
          <w:tcPr>
            <w:tcW w:w="1468" w:type="dxa"/>
            <w:tcBorders>
              <w:top w:val="nil"/>
              <w:left w:val="nil"/>
              <w:bottom w:val="single" w:sz="4" w:space="0" w:color="auto"/>
              <w:right w:val="single" w:sz="4" w:space="0" w:color="auto"/>
            </w:tcBorders>
            <w:shd w:val="clear" w:color="auto" w:fill="auto"/>
            <w:noWrap/>
            <w:vAlign w:val="center"/>
            <w:hideMark/>
          </w:tcPr>
          <w:p w14:paraId="21E791E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4BD4FC2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7325325"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9FB7274"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Los </w:t>
            </w:r>
            <w:proofErr w:type="spellStart"/>
            <w:r w:rsidRPr="00E944FA">
              <w:rPr>
                <w:rFonts w:eastAsia="Times New Roman" w:cs="Times New Roman"/>
                <w:color w:val="000000"/>
                <w:sz w:val="20"/>
                <w:szCs w:val="20"/>
              </w:rPr>
              <w:t>Piletones</w:t>
            </w:r>
            <w:proofErr w:type="spellEnd"/>
            <w:r w:rsidRPr="00E944FA">
              <w:rPr>
                <w:rFonts w:eastAsia="Times New Roman" w:cs="Times New Roman"/>
                <w:color w:val="000000"/>
                <w:sz w:val="20"/>
                <w:szCs w:val="20"/>
              </w:rPr>
              <w:t xml:space="preserve">  (CABA)</w:t>
            </w:r>
          </w:p>
        </w:tc>
        <w:tc>
          <w:tcPr>
            <w:tcW w:w="1227" w:type="dxa"/>
            <w:tcBorders>
              <w:top w:val="nil"/>
              <w:left w:val="nil"/>
              <w:bottom w:val="single" w:sz="4" w:space="0" w:color="auto"/>
              <w:right w:val="single" w:sz="4" w:space="0" w:color="auto"/>
            </w:tcBorders>
            <w:shd w:val="clear" w:color="auto" w:fill="auto"/>
            <w:noWrap/>
            <w:vAlign w:val="center"/>
            <w:hideMark/>
          </w:tcPr>
          <w:p w14:paraId="3E62B57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0,8%</w:t>
            </w:r>
          </w:p>
        </w:tc>
        <w:tc>
          <w:tcPr>
            <w:tcW w:w="1223" w:type="dxa"/>
            <w:tcBorders>
              <w:top w:val="nil"/>
              <w:left w:val="nil"/>
              <w:bottom w:val="single" w:sz="4" w:space="0" w:color="auto"/>
              <w:right w:val="single" w:sz="4" w:space="0" w:color="auto"/>
            </w:tcBorders>
            <w:shd w:val="clear" w:color="auto" w:fill="auto"/>
            <w:noWrap/>
            <w:vAlign w:val="center"/>
            <w:hideMark/>
          </w:tcPr>
          <w:p w14:paraId="6BD9653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0E0D8D0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713" w:type="dxa"/>
            <w:tcBorders>
              <w:top w:val="nil"/>
              <w:left w:val="nil"/>
              <w:bottom w:val="single" w:sz="4" w:space="0" w:color="auto"/>
              <w:right w:val="single" w:sz="4" w:space="0" w:color="auto"/>
            </w:tcBorders>
            <w:shd w:val="clear" w:color="auto" w:fill="auto"/>
            <w:noWrap/>
            <w:vAlign w:val="center"/>
            <w:hideMark/>
          </w:tcPr>
          <w:p w14:paraId="38E93F6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210A8ADB"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10AC8E88"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Los </w:t>
            </w:r>
            <w:proofErr w:type="spellStart"/>
            <w:r w:rsidRPr="00E944FA">
              <w:rPr>
                <w:rFonts w:eastAsia="Times New Roman" w:cs="Times New Roman"/>
                <w:color w:val="000000"/>
                <w:sz w:val="20"/>
                <w:szCs w:val="20"/>
              </w:rPr>
              <w:t>Piletones</w:t>
            </w:r>
            <w:proofErr w:type="spellEnd"/>
            <w:r w:rsidRPr="00E944FA">
              <w:rPr>
                <w:rFonts w:eastAsia="Times New Roman" w:cs="Times New Roman"/>
                <w:color w:val="000000"/>
                <w:sz w:val="20"/>
                <w:szCs w:val="20"/>
              </w:rPr>
              <w:t xml:space="preserve"> II (CABA)</w:t>
            </w:r>
          </w:p>
        </w:tc>
        <w:tc>
          <w:tcPr>
            <w:tcW w:w="1227" w:type="dxa"/>
            <w:tcBorders>
              <w:top w:val="nil"/>
              <w:left w:val="nil"/>
              <w:bottom w:val="single" w:sz="4" w:space="0" w:color="auto"/>
              <w:right w:val="single" w:sz="4" w:space="0" w:color="auto"/>
            </w:tcBorders>
            <w:shd w:val="clear" w:color="auto" w:fill="auto"/>
            <w:noWrap/>
            <w:vAlign w:val="center"/>
            <w:hideMark/>
          </w:tcPr>
          <w:p w14:paraId="46E4B3F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0,3%</w:t>
            </w:r>
          </w:p>
        </w:tc>
        <w:tc>
          <w:tcPr>
            <w:tcW w:w="1223" w:type="dxa"/>
            <w:tcBorders>
              <w:top w:val="nil"/>
              <w:left w:val="nil"/>
              <w:bottom w:val="single" w:sz="4" w:space="0" w:color="auto"/>
              <w:right w:val="single" w:sz="4" w:space="0" w:color="auto"/>
            </w:tcBorders>
            <w:shd w:val="clear" w:color="auto" w:fill="auto"/>
            <w:noWrap/>
            <w:vAlign w:val="center"/>
            <w:hideMark/>
          </w:tcPr>
          <w:p w14:paraId="4ED8422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596D9F1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5D7D0A8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785D632A"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C7DBFE9"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Luján (Ezeiza)</w:t>
            </w:r>
          </w:p>
        </w:tc>
        <w:tc>
          <w:tcPr>
            <w:tcW w:w="1227" w:type="dxa"/>
            <w:tcBorders>
              <w:top w:val="nil"/>
              <w:left w:val="nil"/>
              <w:bottom w:val="single" w:sz="4" w:space="0" w:color="auto"/>
              <w:right w:val="single" w:sz="4" w:space="0" w:color="auto"/>
            </w:tcBorders>
            <w:shd w:val="clear" w:color="auto" w:fill="auto"/>
            <w:noWrap/>
            <w:vAlign w:val="center"/>
            <w:hideMark/>
          </w:tcPr>
          <w:p w14:paraId="6F382B0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1,9%</w:t>
            </w:r>
          </w:p>
        </w:tc>
        <w:tc>
          <w:tcPr>
            <w:tcW w:w="1223" w:type="dxa"/>
            <w:tcBorders>
              <w:top w:val="nil"/>
              <w:left w:val="nil"/>
              <w:bottom w:val="single" w:sz="4" w:space="0" w:color="auto"/>
              <w:right w:val="single" w:sz="4" w:space="0" w:color="auto"/>
            </w:tcBorders>
            <w:shd w:val="clear" w:color="auto" w:fill="auto"/>
            <w:noWrap/>
            <w:vAlign w:val="center"/>
            <w:hideMark/>
          </w:tcPr>
          <w:p w14:paraId="58D6ABA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0,4%</w:t>
            </w:r>
          </w:p>
        </w:tc>
        <w:tc>
          <w:tcPr>
            <w:tcW w:w="1468" w:type="dxa"/>
            <w:tcBorders>
              <w:top w:val="nil"/>
              <w:left w:val="nil"/>
              <w:bottom w:val="single" w:sz="4" w:space="0" w:color="auto"/>
              <w:right w:val="single" w:sz="4" w:space="0" w:color="auto"/>
            </w:tcBorders>
            <w:shd w:val="clear" w:color="auto" w:fill="auto"/>
            <w:noWrap/>
            <w:vAlign w:val="center"/>
            <w:hideMark/>
          </w:tcPr>
          <w:p w14:paraId="3E838A2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0,5%</w:t>
            </w:r>
          </w:p>
        </w:tc>
        <w:tc>
          <w:tcPr>
            <w:tcW w:w="1713" w:type="dxa"/>
            <w:tcBorders>
              <w:top w:val="nil"/>
              <w:left w:val="nil"/>
              <w:bottom w:val="single" w:sz="4" w:space="0" w:color="auto"/>
              <w:right w:val="single" w:sz="4" w:space="0" w:color="auto"/>
            </w:tcBorders>
            <w:shd w:val="clear" w:color="auto" w:fill="auto"/>
            <w:noWrap/>
            <w:vAlign w:val="center"/>
            <w:hideMark/>
          </w:tcPr>
          <w:p w14:paraId="57587A6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r>
      <w:tr w:rsidR="00A45E15" w:rsidRPr="00301F08" w14:paraId="35D4FC64"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1B22B9C"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Maria</w:t>
            </w:r>
            <w:proofErr w:type="spellEnd"/>
            <w:r w:rsidRPr="00E944FA">
              <w:rPr>
                <w:rFonts w:eastAsia="Times New Roman" w:cs="Times New Roman"/>
                <w:color w:val="000000"/>
                <w:sz w:val="20"/>
                <w:szCs w:val="20"/>
              </w:rPr>
              <w:t xml:space="preserve"> Auxiliadora (CABA)</w:t>
            </w:r>
          </w:p>
        </w:tc>
        <w:tc>
          <w:tcPr>
            <w:tcW w:w="1227" w:type="dxa"/>
            <w:tcBorders>
              <w:top w:val="nil"/>
              <w:left w:val="nil"/>
              <w:bottom w:val="single" w:sz="4" w:space="0" w:color="auto"/>
              <w:right w:val="single" w:sz="4" w:space="0" w:color="auto"/>
            </w:tcBorders>
            <w:shd w:val="clear" w:color="auto" w:fill="auto"/>
            <w:noWrap/>
            <w:vAlign w:val="center"/>
            <w:hideMark/>
          </w:tcPr>
          <w:p w14:paraId="1B3FC22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1,7%</w:t>
            </w:r>
          </w:p>
        </w:tc>
        <w:tc>
          <w:tcPr>
            <w:tcW w:w="1223" w:type="dxa"/>
            <w:tcBorders>
              <w:top w:val="nil"/>
              <w:left w:val="nil"/>
              <w:bottom w:val="single" w:sz="4" w:space="0" w:color="auto"/>
              <w:right w:val="single" w:sz="4" w:space="0" w:color="auto"/>
            </w:tcBorders>
            <w:shd w:val="clear" w:color="auto" w:fill="auto"/>
            <w:noWrap/>
            <w:vAlign w:val="center"/>
            <w:hideMark/>
          </w:tcPr>
          <w:p w14:paraId="7807709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5077FDD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713" w:type="dxa"/>
            <w:tcBorders>
              <w:top w:val="nil"/>
              <w:left w:val="nil"/>
              <w:bottom w:val="single" w:sz="4" w:space="0" w:color="auto"/>
              <w:right w:val="single" w:sz="4" w:space="0" w:color="auto"/>
            </w:tcBorders>
            <w:shd w:val="clear" w:color="auto" w:fill="auto"/>
            <w:noWrap/>
            <w:vAlign w:val="center"/>
            <w:hideMark/>
          </w:tcPr>
          <w:p w14:paraId="265213F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748E0D92"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46E3665D"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Recoleta I (La Matanza)</w:t>
            </w:r>
          </w:p>
        </w:tc>
        <w:tc>
          <w:tcPr>
            <w:tcW w:w="1227" w:type="dxa"/>
            <w:tcBorders>
              <w:top w:val="nil"/>
              <w:left w:val="nil"/>
              <w:bottom w:val="single" w:sz="4" w:space="0" w:color="auto"/>
              <w:right w:val="single" w:sz="4" w:space="0" w:color="auto"/>
            </w:tcBorders>
            <w:shd w:val="clear" w:color="auto" w:fill="auto"/>
            <w:noWrap/>
            <w:vAlign w:val="center"/>
            <w:hideMark/>
          </w:tcPr>
          <w:p w14:paraId="1CDAD60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223" w:type="dxa"/>
            <w:tcBorders>
              <w:top w:val="nil"/>
              <w:left w:val="nil"/>
              <w:bottom w:val="single" w:sz="4" w:space="0" w:color="auto"/>
              <w:right w:val="single" w:sz="4" w:space="0" w:color="auto"/>
            </w:tcBorders>
            <w:shd w:val="clear" w:color="auto" w:fill="auto"/>
            <w:noWrap/>
            <w:vAlign w:val="center"/>
            <w:hideMark/>
          </w:tcPr>
          <w:p w14:paraId="1252898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0,1%</w:t>
            </w:r>
          </w:p>
        </w:tc>
        <w:tc>
          <w:tcPr>
            <w:tcW w:w="1468" w:type="dxa"/>
            <w:tcBorders>
              <w:top w:val="nil"/>
              <w:left w:val="nil"/>
              <w:bottom w:val="single" w:sz="4" w:space="0" w:color="auto"/>
              <w:right w:val="single" w:sz="4" w:space="0" w:color="auto"/>
            </w:tcBorders>
            <w:shd w:val="clear" w:color="auto" w:fill="auto"/>
            <w:noWrap/>
            <w:vAlign w:val="center"/>
            <w:hideMark/>
          </w:tcPr>
          <w:p w14:paraId="037249C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713" w:type="dxa"/>
            <w:tcBorders>
              <w:top w:val="nil"/>
              <w:left w:val="nil"/>
              <w:bottom w:val="single" w:sz="4" w:space="0" w:color="auto"/>
              <w:right w:val="single" w:sz="4" w:space="0" w:color="auto"/>
            </w:tcBorders>
            <w:shd w:val="clear" w:color="auto" w:fill="auto"/>
            <w:noWrap/>
            <w:vAlign w:val="center"/>
            <w:hideMark/>
          </w:tcPr>
          <w:p w14:paraId="5285DD7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237D25DA"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08AB9719"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Sakura</w:t>
            </w:r>
            <w:proofErr w:type="spellEnd"/>
            <w:r w:rsidRPr="00E944FA">
              <w:rPr>
                <w:rFonts w:eastAsia="Times New Roman" w:cs="Times New Roman"/>
                <w:color w:val="000000"/>
                <w:sz w:val="20"/>
                <w:szCs w:val="20"/>
              </w:rPr>
              <w:t xml:space="preserve"> (</w:t>
            </w:r>
            <w:proofErr w:type="spellStart"/>
            <w:r w:rsidRPr="00E944FA">
              <w:rPr>
                <w:rFonts w:eastAsia="Times New Roman" w:cs="Times New Roman"/>
                <w:color w:val="000000"/>
                <w:sz w:val="20"/>
                <w:szCs w:val="20"/>
              </w:rPr>
              <w:t>Alte</w:t>
            </w:r>
            <w:proofErr w:type="spellEnd"/>
            <w:r w:rsidRPr="00E944FA">
              <w:rPr>
                <w:rFonts w:eastAsia="Times New Roman" w:cs="Times New Roman"/>
                <w:color w:val="000000"/>
                <w:sz w:val="20"/>
                <w:szCs w:val="20"/>
              </w:rPr>
              <w:t>. Brown)</w:t>
            </w:r>
          </w:p>
        </w:tc>
        <w:tc>
          <w:tcPr>
            <w:tcW w:w="1227" w:type="dxa"/>
            <w:tcBorders>
              <w:top w:val="nil"/>
              <w:left w:val="nil"/>
              <w:bottom w:val="single" w:sz="4" w:space="0" w:color="auto"/>
              <w:right w:val="single" w:sz="4" w:space="0" w:color="auto"/>
            </w:tcBorders>
            <w:shd w:val="clear" w:color="auto" w:fill="auto"/>
            <w:noWrap/>
            <w:vAlign w:val="center"/>
            <w:hideMark/>
          </w:tcPr>
          <w:p w14:paraId="39D053B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1,2%</w:t>
            </w:r>
          </w:p>
        </w:tc>
        <w:tc>
          <w:tcPr>
            <w:tcW w:w="1223" w:type="dxa"/>
            <w:tcBorders>
              <w:top w:val="nil"/>
              <w:left w:val="nil"/>
              <w:bottom w:val="single" w:sz="4" w:space="0" w:color="auto"/>
              <w:right w:val="single" w:sz="4" w:space="0" w:color="auto"/>
            </w:tcBorders>
            <w:shd w:val="clear" w:color="auto" w:fill="auto"/>
            <w:noWrap/>
            <w:vAlign w:val="center"/>
            <w:hideMark/>
          </w:tcPr>
          <w:p w14:paraId="0827EE0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468" w:type="dxa"/>
            <w:tcBorders>
              <w:top w:val="nil"/>
              <w:left w:val="nil"/>
              <w:bottom w:val="single" w:sz="4" w:space="0" w:color="auto"/>
              <w:right w:val="single" w:sz="4" w:space="0" w:color="auto"/>
            </w:tcBorders>
            <w:shd w:val="clear" w:color="auto" w:fill="auto"/>
            <w:noWrap/>
            <w:vAlign w:val="center"/>
            <w:hideMark/>
          </w:tcPr>
          <w:p w14:paraId="7EE2F02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6,0%</w:t>
            </w:r>
          </w:p>
        </w:tc>
        <w:tc>
          <w:tcPr>
            <w:tcW w:w="1713" w:type="dxa"/>
            <w:tcBorders>
              <w:top w:val="nil"/>
              <w:left w:val="nil"/>
              <w:bottom w:val="single" w:sz="4" w:space="0" w:color="auto"/>
              <w:right w:val="single" w:sz="4" w:space="0" w:color="auto"/>
            </w:tcBorders>
            <w:shd w:val="clear" w:color="auto" w:fill="auto"/>
            <w:noWrap/>
            <w:vAlign w:val="center"/>
            <w:hideMark/>
          </w:tcPr>
          <w:p w14:paraId="6325280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r>
      <w:tr w:rsidR="00A45E15" w:rsidRPr="00301F08" w14:paraId="1735DA4E"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1321F477"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San Andrés (Ezeiza)</w:t>
            </w:r>
          </w:p>
        </w:tc>
        <w:tc>
          <w:tcPr>
            <w:tcW w:w="1227" w:type="dxa"/>
            <w:tcBorders>
              <w:top w:val="nil"/>
              <w:left w:val="nil"/>
              <w:bottom w:val="single" w:sz="4" w:space="0" w:color="auto"/>
              <w:right w:val="single" w:sz="4" w:space="0" w:color="auto"/>
            </w:tcBorders>
            <w:shd w:val="clear" w:color="auto" w:fill="auto"/>
            <w:noWrap/>
            <w:vAlign w:val="center"/>
            <w:hideMark/>
          </w:tcPr>
          <w:p w14:paraId="18AC2BA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223" w:type="dxa"/>
            <w:tcBorders>
              <w:top w:val="nil"/>
              <w:left w:val="nil"/>
              <w:bottom w:val="single" w:sz="4" w:space="0" w:color="auto"/>
              <w:right w:val="single" w:sz="4" w:space="0" w:color="auto"/>
            </w:tcBorders>
            <w:shd w:val="clear" w:color="auto" w:fill="auto"/>
            <w:noWrap/>
            <w:vAlign w:val="center"/>
            <w:hideMark/>
          </w:tcPr>
          <w:p w14:paraId="2013AF3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0,3%</w:t>
            </w:r>
          </w:p>
        </w:tc>
        <w:tc>
          <w:tcPr>
            <w:tcW w:w="1468" w:type="dxa"/>
            <w:tcBorders>
              <w:top w:val="nil"/>
              <w:left w:val="nil"/>
              <w:bottom w:val="single" w:sz="4" w:space="0" w:color="auto"/>
              <w:right w:val="single" w:sz="4" w:space="0" w:color="auto"/>
            </w:tcBorders>
            <w:shd w:val="clear" w:color="auto" w:fill="auto"/>
            <w:noWrap/>
            <w:vAlign w:val="center"/>
            <w:hideMark/>
          </w:tcPr>
          <w:p w14:paraId="2E367D8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713" w:type="dxa"/>
            <w:tcBorders>
              <w:top w:val="nil"/>
              <w:left w:val="nil"/>
              <w:bottom w:val="single" w:sz="4" w:space="0" w:color="auto"/>
              <w:right w:val="single" w:sz="4" w:space="0" w:color="auto"/>
            </w:tcBorders>
            <w:shd w:val="clear" w:color="auto" w:fill="auto"/>
            <w:noWrap/>
            <w:vAlign w:val="center"/>
            <w:hideMark/>
          </w:tcPr>
          <w:p w14:paraId="7B7A204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7BC0D4E4"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08049BF6"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San Carlos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33DFD3A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1,1%</w:t>
            </w:r>
          </w:p>
        </w:tc>
        <w:tc>
          <w:tcPr>
            <w:tcW w:w="1223" w:type="dxa"/>
            <w:tcBorders>
              <w:top w:val="nil"/>
              <w:left w:val="nil"/>
              <w:bottom w:val="single" w:sz="4" w:space="0" w:color="auto"/>
              <w:right w:val="single" w:sz="4" w:space="0" w:color="auto"/>
            </w:tcBorders>
            <w:shd w:val="clear" w:color="auto" w:fill="auto"/>
            <w:noWrap/>
            <w:vAlign w:val="center"/>
            <w:hideMark/>
          </w:tcPr>
          <w:p w14:paraId="2CC6A83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0,5%</w:t>
            </w:r>
          </w:p>
        </w:tc>
        <w:tc>
          <w:tcPr>
            <w:tcW w:w="1468" w:type="dxa"/>
            <w:tcBorders>
              <w:top w:val="nil"/>
              <w:left w:val="nil"/>
              <w:bottom w:val="single" w:sz="4" w:space="0" w:color="auto"/>
              <w:right w:val="single" w:sz="4" w:space="0" w:color="auto"/>
            </w:tcBorders>
            <w:shd w:val="clear" w:color="auto" w:fill="auto"/>
            <w:noWrap/>
            <w:vAlign w:val="center"/>
            <w:hideMark/>
          </w:tcPr>
          <w:p w14:paraId="5C30594A"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0,5%</w:t>
            </w:r>
          </w:p>
        </w:tc>
        <w:tc>
          <w:tcPr>
            <w:tcW w:w="1713" w:type="dxa"/>
            <w:tcBorders>
              <w:top w:val="nil"/>
              <w:left w:val="nil"/>
              <w:bottom w:val="single" w:sz="4" w:space="0" w:color="auto"/>
              <w:right w:val="single" w:sz="4" w:space="0" w:color="auto"/>
            </w:tcBorders>
            <w:shd w:val="clear" w:color="auto" w:fill="auto"/>
            <w:noWrap/>
            <w:vAlign w:val="center"/>
            <w:hideMark/>
          </w:tcPr>
          <w:p w14:paraId="45DE49C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61F4DCD"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FB4363A"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lastRenderedPageBreak/>
              <w:t>San Carlos Oeste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2F910B3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6A68F787"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57ECE41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35F7FFD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238DF2C"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9F871C2"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Soledad (Lomas de Zamora)</w:t>
            </w:r>
          </w:p>
        </w:tc>
        <w:tc>
          <w:tcPr>
            <w:tcW w:w="1227" w:type="dxa"/>
            <w:tcBorders>
              <w:top w:val="nil"/>
              <w:left w:val="nil"/>
              <w:bottom w:val="single" w:sz="4" w:space="0" w:color="auto"/>
              <w:right w:val="single" w:sz="4" w:space="0" w:color="auto"/>
            </w:tcBorders>
            <w:shd w:val="clear" w:color="auto" w:fill="auto"/>
            <w:noWrap/>
            <w:vAlign w:val="center"/>
            <w:hideMark/>
          </w:tcPr>
          <w:p w14:paraId="4B3119D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35B8F20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132A7EE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1,1%</w:t>
            </w:r>
          </w:p>
        </w:tc>
        <w:tc>
          <w:tcPr>
            <w:tcW w:w="1713" w:type="dxa"/>
            <w:tcBorders>
              <w:top w:val="nil"/>
              <w:left w:val="nil"/>
              <w:bottom w:val="single" w:sz="4" w:space="0" w:color="auto"/>
              <w:right w:val="single" w:sz="4" w:space="0" w:color="auto"/>
            </w:tcBorders>
            <w:shd w:val="clear" w:color="auto" w:fill="auto"/>
            <w:noWrap/>
            <w:vAlign w:val="center"/>
            <w:hideMark/>
          </w:tcPr>
          <w:p w14:paraId="6052C41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3867E0F1"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3AD685C2"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Torchiario</w:t>
            </w:r>
            <w:proofErr w:type="spellEnd"/>
            <w:r w:rsidRPr="00E944FA">
              <w:rPr>
                <w:rFonts w:eastAsia="Times New Roman" w:cs="Times New Roman"/>
                <w:color w:val="000000"/>
                <w:sz w:val="20"/>
                <w:szCs w:val="20"/>
              </w:rPr>
              <w:t xml:space="preserve"> (Marcos Paz)</w:t>
            </w:r>
          </w:p>
        </w:tc>
        <w:tc>
          <w:tcPr>
            <w:tcW w:w="1227" w:type="dxa"/>
            <w:tcBorders>
              <w:top w:val="nil"/>
              <w:left w:val="nil"/>
              <w:bottom w:val="single" w:sz="4" w:space="0" w:color="auto"/>
              <w:right w:val="single" w:sz="4" w:space="0" w:color="auto"/>
            </w:tcBorders>
            <w:shd w:val="clear" w:color="auto" w:fill="auto"/>
            <w:noWrap/>
            <w:vAlign w:val="center"/>
            <w:hideMark/>
          </w:tcPr>
          <w:p w14:paraId="52D6371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0,8%</w:t>
            </w:r>
          </w:p>
        </w:tc>
        <w:tc>
          <w:tcPr>
            <w:tcW w:w="1223" w:type="dxa"/>
            <w:tcBorders>
              <w:top w:val="nil"/>
              <w:left w:val="nil"/>
              <w:bottom w:val="single" w:sz="4" w:space="0" w:color="auto"/>
              <w:right w:val="single" w:sz="4" w:space="0" w:color="auto"/>
            </w:tcBorders>
            <w:shd w:val="clear" w:color="auto" w:fill="auto"/>
            <w:noWrap/>
            <w:vAlign w:val="center"/>
            <w:hideMark/>
          </w:tcPr>
          <w:p w14:paraId="7F0C88D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0,8%</w:t>
            </w:r>
          </w:p>
        </w:tc>
        <w:tc>
          <w:tcPr>
            <w:tcW w:w="1468" w:type="dxa"/>
            <w:tcBorders>
              <w:top w:val="nil"/>
              <w:left w:val="nil"/>
              <w:bottom w:val="single" w:sz="4" w:space="0" w:color="auto"/>
              <w:right w:val="single" w:sz="4" w:space="0" w:color="auto"/>
            </w:tcBorders>
            <w:shd w:val="clear" w:color="auto" w:fill="auto"/>
            <w:noWrap/>
            <w:vAlign w:val="center"/>
            <w:hideMark/>
          </w:tcPr>
          <w:p w14:paraId="1EEA298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0,4%</w:t>
            </w:r>
          </w:p>
        </w:tc>
        <w:tc>
          <w:tcPr>
            <w:tcW w:w="1713" w:type="dxa"/>
            <w:tcBorders>
              <w:top w:val="nil"/>
              <w:left w:val="nil"/>
              <w:bottom w:val="single" w:sz="4" w:space="0" w:color="auto"/>
              <w:right w:val="single" w:sz="4" w:space="0" w:color="auto"/>
            </w:tcBorders>
            <w:shd w:val="clear" w:color="auto" w:fill="auto"/>
            <w:noWrap/>
            <w:vAlign w:val="center"/>
            <w:hideMark/>
          </w:tcPr>
          <w:p w14:paraId="1848B581"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247D265"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042D578B"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Trasradio</w:t>
            </w:r>
            <w:proofErr w:type="spellEnd"/>
            <w:r w:rsidRPr="00E944FA">
              <w:rPr>
                <w:rFonts w:eastAsia="Times New Roman" w:cs="Times New Roman"/>
                <w:color w:val="000000"/>
                <w:sz w:val="20"/>
                <w:szCs w:val="20"/>
              </w:rPr>
              <w:t xml:space="preserve"> (E. Echeverría)</w:t>
            </w:r>
          </w:p>
        </w:tc>
        <w:tc>
          <w:tcPr>
            <w:tcW w:w="1227" w:type="dxa"/>
            <w:tcBorders>
              <w:top w:val="nil"/>
              <w:left w:val="nil"/>
              <w:bottom w:val="single" w:sz="4" w:space="0" w:color="auto"/>
              <w:right w:val="single" w:sz="4" w:space="0" w:color="auto"/>
            </w:tcBorders>
            <w:shd w:val="clear" w:color="auto" w:fill="auto"/>
            <w:noWrap/>
            <w:vAlign w:val="center"/>
            <w:hideMark/>
          </w:tcPr>
          <w:p w14:paraId="5A8428BD"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1B1BD22C"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0,7%</w:t>
            </w:r>
          </w:p>
        </w:tc>
        <w:tc>
          <w:tcPr>
            <w:tcW w:w="1468" w:type="dxa"/>
            <w:tcBorders>
              <w:top w:val="nil"/>
              <w:left w:val="nil"/>
              <w:bottom w:val="single" w:sz="4" w:space="0" w:color="auto"/>
              <w:right w:val="single" w:sz="4" w:space="0" w:color="auto"/>
            </w:tcBorders>
            <w:shd w:val="clear" w:color="auto" w:fill="auto"/>
            <w:noWrap/>
            <w:vAlign w:val="center"/>
            <w:hideMark/>
          </w:tcPr>
          <w:p w14:paraId="155AB0F6"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5343921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6C33ADAE"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785F5151" w14:textId="77777777" w:rsidR="00A45E15" w:rsidRPr="00E944FA" w:rsidRDefault="00A45E15" w:rsidP="00C82A08">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Urioste</w:t>
            </w:r>
            <w:proofErr w:type="spellEnd"/>
            <w:r w:rsidRPr="00E944FA">
              <w:rPr>
                <w:rFonts w:eastAsia="Times New Roman" w:cs="Times New Roman"/>
                <w:color w:val="000000"/>
                <w:sz w:val="20"/>
                <w:szCs w:val="20"/>
              </w:rPr>
              <w:t xml:space="preserve"> (Marcos Paz)</w:t>
            </w:r>
          </w:p>
        </w:tc>
        <w:tc>
          <w:tcPr>
            <w:tcW w:w="1227" w:type="dxa"/>
            <w:tcBorders>
              <w:top w:val="nil"/>
              <w:left w:val="nil"/>
              <w:bottom w:val="single" w:sz="4" w:space="0" w:color="auto"/>
              <w:right w:val="single" w:sz="4" w:space="0" w:color="auto"/>
            </w:tcBorders>
            <w:shd w:val="clear" w:color="auto" w:fill="auto"/>
            <w:noWrap/>
            <w:vAlign w:val="center"/>
            <w:hideMark/>
          </w:tcPr>
          <w:p w14:paraId="7BBF8E74"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223" w:type="dxa"/>
            <w:tcBorders>
              <w:top w:val="nil"/>
              <w:left w:val="nil"/>
              <w:bottom w:val="single" w:sz="4" w:space="0" w:color="auto"/>
              <w:right w:val="single" w:sz="4" w:space="0" w:color="auto"/>
            </w:tcBorders>
            <w:shd w:val="clear" w:color="auto" w:fill="auto"/>
            <w:noWrap/>
            <w:vAlign w:val="center"/>
            <w:hideMark/>
          </w:tcPr>
          <w:p w14:paraId="7EC8E60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468" w:type="dxa"/>
            <w:tcBorders>
              <w:top w:val="nil"/>
              <w:left w:val="nil"/>
              <w:bottom w:val="single" w:sz="4" w:space="0" w:color="auto"/>
              <w:right w:val="single" w:sz="4" w:space="0" w:color="auto"/>
            </w:tcBorders>
            <w:shd w:val="clear" w:color="auto" w:fill="auto"/>
            <w:noWrap/>
            <w:vAlign w:val="center"/>
            <w:hideMark/>
          </w:tcPr>
          <w:p w14:paraId="7C2EB945"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0,7%</w:t>
            </w:r>
          </w:p>
        </w:tc>
        <w:tc>
          <w:tcPr>
            <w:tcW w:w="1713" w:type="dxa"/>
            <w:tcBorders>
              <w:top w:val="nil"/>
              <w:left w:val="nil"/>
              <w:bottom w:val="single" w:sz="4" w:space="0" w:color="auto"/>
              <w:right w:val="single" w:sz="4" w:space="0" w:color="auto"/>
            </w:tcBorders>
            <w:shd w:val="clear" w:color="auto" w:fill="auto"/>
            <w:noWrap/>
            <w:vAlign w:val="center"/>
            <w:hideMark/>
          </w:tcPr>
          <w:p w14:paraId="27867498"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A4FA8EA"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159ACA79"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Villa Talleres (Lanús)</w:t>
            </w:r>
          </w:p>
        </w:tc>
        <w:tc>
          <w:tcPr>
            <w:tcW w:w="1227" w:type="dxa"/>
            <w:tcBorders>
              <w:top w:val="nil"/>
              <w:left w:val="nil"/>
              <w:bottom w:val="single" w:sz="4" w:space="0" w:color="auto"/>
              <w:right w:val="single" w:sz="4" w:space="0" w:color="auto"/>
            </w:tcBorders>
            <w:shd w:val="clear" w:color="auto" w:fill="auto"/>
            <w:noWrap/>
            <w:vAlign w:val="center"/>
            <w:hideMark/>
          </w:tcPr>
          <w:p w14:paraId="6E564AE9"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0,6%</w:t>
            </w:r>
          </w:p>
        </w:tc>
        <w:tc>
          <w:tcPr>
            <w:tcW w:w="1223" w:type="dxa"/>
            <w:tcBorders>
              <w:top w:val="nil"/>
              <w:left w:val="nil"/>
              <w:bottom w:val="single" w:sz="4" w:space="0" w:color="auto"/>
              <w:right w:val="single" w:sz="4" w:space="0" w:color="auto"/>
            </w:tcBorders>
            <w:shd w:val="clear" w:color="auto" w:fill="auto"/>
            <w:noWrap/>
            <w:vAlign w:val="center"/>
            <w:hideMark/>
          </w:tcPr>
          <w:p w14:paraId="7F84CD5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0,9%</w:t>
            </w:r>
          </w:p>
        </w:tc>
        <w:tc>
          <w:tcPr>
            <w:tcW w:w="1468" w:type="dxa"/>
            <w:tcBorders>
              <w:top w:val="nil"/>
              <w:left w:val="nil"/>
              <w:bottom w:val="single" w:sz="4" w:space="0" w:color="auto"/>
              <w:right w:val="single" w:sz="4" w:space="0" w:color="auto"/>
            </w:tcBorders>
            <w:shd w:val="clear" w:color="auto" w:fill="auto"/>
            <w:noWrap/>
            <w:vAlign w:val="center"/>
            <w:hideMark/>
          </w:tcPr>
          <w:p w14:paraId="24C791C0"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172F3D4E"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0376427C" w14:textId="77777777" w:rsidTr="00301F08">
        <w:trPr>
          <w:trHeight w:hRule="exact" w:val="333"/>
          <w:jc w:val="center"/>
        </w:trPr>
        <w:tc>
          <w:tcPr>
            <w:tcW w:w="4030" w:type="dxa"/>
            <w:tcBorders>
              <w:top w:val="nil"/>
              <w:left w:val="single" w:sz="4" w:space="0" w:color="auto"/>
              <w:bottom w:val="single" w:sz="4" w:space="0" w:color="auto"/>
              <w:right w:val="single" w:sz="4" w:space="0" w:color="auto"/>
            </w:tcBorders>
            <w:shd w:val="clear" w:color="auto" w:fill="auto"/>
            <w:noWrap/>
            <w:vAlign w:val="center"/>
            <w:hideMark/>
          </w:tcPr>
          <w:p w14:paraId="2D0FC8BD" w14:textId="77777777" w:rsidR="00A45E15" w:rsidRPr="00E944FA" w:rsidRDefault="00A45E15" w:rsidP="00C82A08">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Vista Linda (Ezeiza)</w:t>
            </w:r>
          </w:p>
        </w:tc>
        <w:tc>
          <w:tcPr>
            <w:tcW w:w="1227" w:type="dxa"/>
            <w:tcBorders>
              <w:top w:val="nil"/>
              <w:left w:val="nil"/>
              <w:bottom w:val="single" w:sz="4" w:space="0" w:color="auto"/>
              <w:right w:val="single" w:sz="4" w:space="0" w:color="auto"/>
            </w:tcBorders>
            <w:shd w:val="clear" w:color="auto" w:fill="auto"/>
            <w:noWrap/>
            <w:vAlign w:val="center"/>
            <w:hideMark/>
          </w:tcPr>
          <w:p w14:paraId="5194C92F"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1,2%</w:t>
            </w:r>
          </w:p>
        </w:tc>
        <w:tc>
          <w:tcPr>
            <w:tcW w:w="1223" w:type="dxa"/>
            <w:tcBorders>
              <w:top w:val="nil"/>
              <w:left w:val="nil"/>
              <w:bottom w:val="single" w:sz="4" w:space="0" w:color="auto"/>
              <w:right w:val="single" w:sz="4" w:space="0" w:color="auto"/>
            </w:tcBorders>
            <w:shd w:val="clear" w:color="auto" w:fill="auto"/>
            <w:noWrap/>
            <w:vAlign w:val="center"/>
            <w:hideMark/>
          </w:tcPr>
          <w:p w14:paraId="53F6F7B3"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0,2%</w:t>
            </w:r>
          </w:p>
        </w:tc>
        <w:tc>
          <w:tcPr>
            <w:tcW w:w="1468" w:type="dxa"/>
            <w:tcBorders>
              <w:top w:val="nil"/>
              <w:left w:val="nil"/>
              <w:bottom w:val="single" w:sz="4" w:space="0" w:color="auto"/>
              <w:right w:val="single" w:sz="4" w:space="0" w:color="auto"/>
            </w:tcBorders>
            <w:shd w:val="clear" w:color="auto" w:fill="auto"/>
            <w:noWrap/>
            <w:vAlign w:val="center"/>
            <w:hideMark/>
          </w:tcPr>
          <w:p w14:paraId="44896FE2"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c>
          <w:tcPr>
            <w:tcW w:w="1713" w:type="dxa"/>
            <w:tcBorders>
              <w:top w:val="nil"/>
              <w:left w:val="nil"/>
              <w:bottom w:val="single" w:sz="4" w:space="0" w:color="auto"/>
              <w:right w:val="single" w:sz="4" w:space="0" w:color="auto"/>
            </w:tcBorders>
            <w:shd w:val="clear" w:color="auto" w:fill="auto"/>
            <w:noWrap/>
            <w:vAlign w:val="center"/>
            <w:hideMark/>
          </w:tcPr>
          <w:p w14:paraId="6796137B" w14:textId="77777777" w:rsidR="00A45E15" w:rsidRPr="00E944FA" w:rsidRDefault="00A45E15" w:rsidP="00A45E15">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0,0%</w:t>
            </w:r>
          </w:p>
        </w:tc>
      </w:tr>
      <w:tr w:rsidR="00A45E15" w:rsidRPr="00301F08" w14:paraId="2BB8D38F" w14:textId="77777777" w:rsidTr="00301F08">
        <w:trPr>
          <w:trHeight w:hRule="exact" w:val="360"/>
          <w:jc w:val="center"/>
        </w:trPr>
        <w:tc>
          <w:tcPr>
            <w:tcW w:w="4030" w:type="dxa"/>
            <w:tcBorders>
              <w:top w:val="nil"/>
              <w:left w:val="single" w:sz="4" w:space="0" w:color="auto"/>
              <w:bottom w:val="single" w:sz="4" w:space="0" w:color="auto"/>
              <w:right w:val="single" w:sz="4" w:space="0" w:color="auto"/>
            </w:tcBorders>
            <w:shd w:val="clear" w:color="000000" w:fill="BDD7EE"/>
            <w:vAlign w:val="center"/>
            <w:hideMark/>
          </w:tcPr>
          <w:p w14:paraId="6AE138A1" w14:textId="77777777" w:rsidR="00A45E15" w:rsidRPr="00E944FA" w:rsidRDefault="00A45E15" w:rsidP="00A45E15">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Total operativos</w:t>
            </w:r>
          </w:p>
        </w:tc>
        <w:tc>
          <w:tcPr>
            <w:tcW w:w="1227" w:type="dxa"/>
            <w:tcBorders>
              <w:top w:val="nil"/>
              <w:left w:val="nil"/>
              <w:bottom w:val="single" w:sz="4" w:space="0" w:color="auto"/>
              <w:right w:val="single" w:sz="4" w:space="0" w:color="auto"/>
            </w:tcBorders>
            <w:shd w:val="clear" w:color="000000" w:fill="BDD7EE"/>
            <w:vAlign w:val="center"/>
            <w:hideMark/>
          </w:tcPr>
          <w:p w14:paraId="5D46716C" w14:textId="77777777" w:rsidR="00A45E15" w:rsidRPr="00E944FA" w:rsidRDefault="00A45E15" w:rsidP="00A45E15">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0,9%</w:t>
            </w:r>
          </w:p>
        </w:tc>
        <w:tc>
          <w:tcPr>
            <w:tcW w:w="1223" w:type="dxa"/>
            <w:tcBorders>
              <w:top w:val="nil"/>
              <w:left w:val="nil"/>
              <w:bottom w:val="single" w:sz="4" w:space="0" w:color="auto"/>
              <w:right w:val="single" w:sz="4" w:space="0" w:color="auto"/>
            </w:tcBorders>
            <w:shd w:val="clear" w:color="000000" w:fill="BDD7EE"/>
            <w:vAlign w:val="center"/>
            <w:hideMark/>
          </w:tcPr>
          <w:p w14:paraId="727A1CAA" w14:textId="77777777" w:rsidR="00A45E15" w:rsidRPr="00E944FA" w:rsidRDefault="00A45E15" w:rsidP="00A45E15">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0,3%</w:t>
            </w:r>
          </w:p>
        </w:tc>
        <w:tc>
          <w:tcPr>
            <w:tcW w:w="1468" w:type="dxa"/>
            <w:tcBorders>
              <w:top w:val="nil"/>
              <w:left w:val="nil"/>
              <w:bottom w:val="single" w:sz="4" w:space="0" w:color="auto"/>
              <w:right w:val="single" w:sz="4" w:space="0" w:color="auto"/>
            </w:tcBorders>
            <w:shd w:val="clear" w:color="000000" w:fill="BDD7EE"/>
            <w:vAlign w:val="center"/>
            <w:hideMark/>
          </w:tcPr>
          <w:p w14:paraId="51AA9D31" w14:textId="77777777" w:rsidR="00A45E15" w:rsidRPr="00E944FA" w:rsidRDefault="00A45E15" w:rsidP="00A45E15">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0,3%</w:t>
            </w:r>
          </w:p>
        </w:tc>
        <w:tc>
          <w:tcPr>
            <w:tcW w:w="1713" w:type="dxa"/>
            <w:tcBorders>
              <w:top w:val="nil"/>
              <w:left w:val="nil"/>
              <w:bottom w:val="single" w:sz="4" w:space="0" w:color="auto"/>
              <w:right w:val="single" w:sz="4" w:space="0" w:color="auto"/>
            </w:tcBorders>
            <w:shd w:val="clear" w:color="000000" w:fill="BDD7EE"/>
            <w:vAlign w:val="center"/>
            <w:hideMark/>
          </w:tcPr>
          <w:p w14:paraId="195D4F53" w14:textId="77777777" w:rsidR="00A45E15" w:rsidRPr="00E944FA" w:rsidRDefault="00A45E15" w:rsidP="00A45E15">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0,0%</w:t>
            </w:r>
          </w:p>
        </w:tc>
      </w:tr>
    </w:tbl>
    <w:p w14:paraId="769AD353" w14:textId="77777777" w:rsidR="00900D5B" w:rsidRDefault="00C70F0F">
      <w:pPr>
        <w:ind w:left="2280" w:firstLine="600"/>
        <w:rPr>
          <w:sz w:val="18"/>
          <w:szCs w:val="18"/>
        </w:rPr>
      </w:pPr>
      <w:r>
        <w:rPr>
          <w:sz w:val="18"/>
          <w:szCs w:val="18"/>
        </w:rPr>
        <w:t>Fuente: elaboración propia en base a datos EISAAR</w:t>
      </w:r>
    </w:p>
    <w:p w14:paraId="2CAA2059" w14:textId="77777777" w:rsidR="00900D5B" w:rsidRDefault="00900D5B">
      <w:pPr>
        <w:ind w:left="2280" w:firstLine="600"/>
        <w:rPr>
          <w:sz w:val="18"/>
          <w:szCs w:val="18"/>
        </w:rPr>
      </w:pPr>
    </w:p>
    <w:p w14:paraId="15A7C04A" w14:textId="7164D133" w:rsidR="00900D5B" w:rsidRPr="00E944FA" w:rsidRDefault="00C70F0F">
      <w:pPr>
        <w:widowControl/>
        <w:pBdr>
          <w:top w:val="none" w:sz="0" w:space="0" w:color="000000"/>
          <w:left w:val="none" w:sz="0" w:space="0" w:color="000000"/>
          <w:bottom w:val="none" w:sz="0" w:space="0" w:color="000000"/>
          <w:right w:val="none" w:sz="0" w:space="0" w:color="000000"/>
          <w:between w:val="none" w:sz="0" w:space="0" w:color="000000"/>
        </w:pBdr>
        <w:spacing w:after="160"/>
        <w:rPr>
          <w:sz w:val="22"/>
        </w:rPr>
      </w:pPr>
      <w:r w:rsidRPr="00E944FA">
        <w:rPr>
          <w:sz w:val="22"/>
        </w:rPr>
        <w:t xml:space="preserve">Los entrevistados aludieron que, en los menores de 6 años en el último año, el </w:t>
      </w:r>
      <w:r w:rsidR="00CE6217" w:rsidRPr="00E944FA">
        <w:rPr>
          <w:sz w:val="22"/>
        </w:rPr>
        <w:t>14,6</w:t>
      </w:r>
      <w:r w:rsidRPr="00E944FA">
        <w:rPr>
          <w:sz w:val="22"/>
        </w:rPr>
        <w:t>% (</w:t>
      </w:r>
      <w:r w:rsidR="00CE6217" w:rsidRPr="00E944FA">
        <w:rPr>
          <w:sz w:val="22"/>
        </w:rPr>
        <w:t>375</w:t>
      </w:r>
      <w:r w:rsidRPr="00E944FA">
        <w:rPr>
          <w:sz w:val="22"/>
        </w:rPr>
        <w:t xml:space="preserve">) tuvo tos o dificultad para respirar en el último año (Tabla 15). De éstos, el </w:t>
      </w:r>
      <w:r w:rsidR="00C82A08" w:rsidRPr="00E944FA">
        <w:rPr>
          <w:sz w:val="22"/>
        </w:rPr>
        <w:t>42,1</w:t>
      </w:r>
      <w:r w:rsidRPr="00E944FA">
        <w:rPr>
          <w:sz w:val="22"/>
        </w:rPr>
        <w:t>% (</w:t>
      </w:r>
      <w:r w:rsidR="00C82A08" w:rsidRPr="00E944FA">
        <w:rPr>
          <w:sz w:val="22"/>
        </w:rPr>
        <w:t>158</w:t>
      </w:r>
      <w:r w:rsidRPr="00E944FA">
        <w:rPr>
          <w:sz w:val="22"/>
        </w:rPr>
        <w:t xml:space="preserve">) tuvieron 3 o más episodios, esto representó el </w:t>
      </w:r>
      <w:r w:rsidR="00C82A08" w:rsidRPr="00E944FA">
        <w:rPr>
          <w:sz w:val="22"/>
        </w:rPr>
        <w:t>6,1</w:t>
      </w:r>
      <w:r w:rsidRPr="00E944FA">
        <w:rPr>
          <w:sz w:val="22"/>
        </w:rPr>
        <w:t xml:space="preserve">% de la población de 6 años y menos. Respecto a las diarreas, se registraron un </w:t>
      </w:r>
      <w:r w:rsidR="00C82A08" w:rsidRPr="00E944FA">
        <w:rPr>
          <w:sz w:val="22"/>
        </w:rPr>
        <w:t>13,2</w:t>
      </w:r>
      <w:r w:rsidRPr="00E944FA">
        <w:rPr>
          <w:sz w:val="22"/>
        </w:rPr>
        <w:t>% (</w:t>
      </w:r>
      <w:r w:rsidR="00C82A08" w:rsidRPr="00E944FA">
        <w:rPr>
          <w:sz w:val="22"/>
        </w:rPr>
        <w:t>340</w:t>
      </w:r>
      <w:r w:rsidRPr="00E944FA">
        <w:rPr>
          <w:sz w:val="22"/>
        </w:rPr>
        <w:t xml:space="preserve">) en los menores de 6 años, y de estos, </w:t>
      </w:r>
      <w:r w:rsidR="00C82A08" w:rsidRPr="00E944FA">
        <w:rPr>
          <w:sz w:val="22"/>
        </w:rPr>
        <w:t>34,4</w:t>
      </w:r>
      <w:r w:rsidRPr="00E944FA">
        <w:rPr>
          <w:sz w:val="22"/>
        </w:rPr>
        <w:t>% (</w:t>
      </w:r>
      <w:r w:rsidR="00C82A08" w:rsidRPr="00E944FA">
        <w:rPr>
          <w:sz w:val="22"/>
        </w:rPr>
        <w:t>117</w:t>
      </w:r>
      <w:r w:rsidRPr="00E944FA">
        <w:rPr>
          <w:sz w:val="22"/>
        </w:rPr>
        <w:t xml:space="preserve">) tuvo 3 o más episodios, representando para el total de esta población el </w:t>
      </w:r>
      <w:r w:rsidR="00C82A08" w:rsidRPr="00E944FA">
        <w:rPr>
          <w:sz w:val="22"/>
        </w:rPr>
        <w:t>4,5</w:t>
      </w:r>
      <w:r w:rsidRPr="00E944FA">
        <w:rPr>
          <w:sz w:val="22"/>
        </w:rPr>
        <w:t xml:space="preserve">%. El </w:t>
      </w:r>
      <w:r w:rsidR="00C82A08" w:rsidRPr="00E944FA">
        <w:rPr>
          <w:sz w:val="22"/>
        </w:rPr>
        <w:t>11,9</w:t>
      </w:r>
      <w:r w:rsidRPr="00E944FA">
        <w:rPr>
          <w:sz w:val="22"/>
        </w:rPr>
        <w:t>% (</w:t>
      </w:r>
      <w:r w:rsidR="00C82A08" w:rsidRPr="00E944FA">
        <w:rPr>
          <w:sz w:val="22"/>
        </w:rPr>
        <w:t>305</w:t>
      </w:r>
      <w:r w:rsidRPr="00E944FA">
        <w:rPr>
          <w:sz w:val="22"/>
        </w:rPr>
        <w:t>) tuvo problemas dermatológicos.</w:t>
      </w:r>
    </w:p>
    <w:p w14:paraId="5F889512" w14:textId="2B9F48FF" w:rsidR="00900D5B" w:rsidRDefault="00900D5B" w:rsidP="00E944FA">
      <w:pPr>
        <w:ind w:firstLine="0"/>
        <w:rPr>
          <w:b/>
        </w:rPr>
      </w:pPr>
      <w:bookmarkStart w:id="18" w:name="_1ci93xb" w:colFirst="0" w:colLast="0"/>
      <w:bookmarkEnd w:id="18"/>
    </w:p>
    <w:p w14:paraId="15CBCA9A" w14:textId="50800130" w:rsidR="00900D5B" w:rsidRPr="00E944FA" w:rsidRDefault="00C70F0F">
      <w:pPr>
        <w:ind w:firstLine="0"/>
        <w:rPr>
          <w:sz w:val="22"/>
        </w:rPr>
      </w:pPr>
      <w:bookmarkStart w:id="19" w:name="_3whwml4" w:colFirst="0" w:colLast="0"/>
      <w:bookmarkEnd w:id="19"/>
      <w:r w:rsidRPr="00E944FA">
        <w:rPr>
          <w:b/>
          <w:sz w:val="22"/>
        </w:rPr>
        <w:t>Tabla 1</w:t>
      </w:r>
      <w:r w:rsidR="00C06348" w:rsidRPr="00E944FA">
        <w:rPr>
          <w:b/>
          <w:sz w:val="22"/>
        </w:rPr>
        <w:t>1</w:t>
      </w:r>
      <w:r w:rsidRPr="00E944FA">
        <w:rPr>
          <w:b/>
          <w:sz w:val="22"/>
        </w:rPr>
        <w:t>:</w:t>
      </w:r>
      <w:r w:rsidRPr="00E944FA">
        <w:rPr>
          <w:sz w:val="22"/>
        </w:rPr>
        <w:t xml:space="preserve"> Problemas de salud referidos en los menores de 6 en el último año. Barrios relevados de la CMR, enero-</w:t>
      </w:r>
      <w:r w:rsidR="00A45E15" w:rsidRPr="00E944FA">
        <w:rPr>
          <w:sz w:val="22"/>
        </w:rPr>
        <w:t>octubre</w:t>
      </w:r>
      <w:r w:rsidRPr="00E944FA">
        <w:rPr>
          <w:sz w:val="22"/>
        </w:rPr>
        <w:t xml:space="preserve"> 2019.  N=</w:t>
      </w:r>
      <w:r w:rsidR="004F08A8" w:rsidRPr="00E944FA">
        <w:rPr>
          <w:sz w:val="22"/>
        </w:rPr>
        <w:t>2573</w:t>
      </w:r>
      <w:r w:rsidR="00A45E15" w:rsidRPr="00E944FA">
        <w:rPr>
          <w:sz w:val="22"/>
        </w:rPr>
        <w:t>.</w:t>
      </w:r>
    </w:p>
    <w:p w14:paraId="48824BFA" w14:textId="77777777" w:rsidR="00900D5B" w:rsidRDefault="00900D5B">
      <w:pPr>
        <w:ind w:firstLine="0"/>
        <w:jc w:val="left"/>
      </w:pPr>
      <w:bookmarkStart w:id="20" w:name="_ixjo3346hk7a" w:colFirst="0" w:colLast="0"/>
      <w:bookmarkStart w:id="21" w:name="_vomfez8fm1tg" w:colFirst="0" w:colLast="0"/>
      <w:bookmarkStart w:id="22" w:name="_y80ibpfnzvpe" w:colFirst="0" w:colLast="0"/>
      <w:bookmarkEnd w:id="20"/>
      <w:bookmarkEnd w:id="21"/>
      <w:bookmarkEnd w:id="22"/>
    </w:p>
    <w:tbl>
      <w:tblPr>
        <w:tblW w:w="5000" w:type="pct"/>
        <w:tblCellMar>
          <w:left w:w="70" w:type="dxa"/>
          <w:right w:w="70" w:type="dxa"/>
        </w:tblCellMar>
        <w:tblLook w:val="04A0" w:firstRow="1" w:lastRow="0" w:firstColumn="1" w:lastColumn="0" w:noHBand="0" w:noVBand="1"/>
      </w:tblPr>
      <w:tblGrid>
        <w:gridCol w:w="3630"/>
        <w:gridCol w:w="920"/>
        <w:gridCol w:w="906"/>
        <w:gridCol w:w="932"/>
        <w:gridCol w:w="906"/>
        <w:gridCol w:w="912"/>
        <w:gridCol w:w="1423"/>
      </w:tblGrid>
      <w:tr w:rsidR="004F08A8" w:rsidRPr="00E944FA" w14:paraId="3309C04B" w14:textId="77777777" w:rsidTr="00E944FA">
        <w:trPr>
          <w:trHeight w:hRule="exact" w:val="1257"/>
        </w:trPr>
        <w:tc>
          <w:tcPr>
            <w:tcW w:w="1576"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49A98DA3" w14:textId="77777777" w:rsidR="004F08A8" w:rsidRPr="00E944FA" w:rsidRDefault="004F08A8">
            <w:pPr>
              <w:spacing w:line="240" w:lineRule="auto"/>
              <w:jc w:val="center"/>
              <w:rPr>
                <w:rFonts w:eastAsia="Times New Roman" w:cs="Times New Roman"/>
                <w:color w:val="000000"/>
                <w:sz w:val="20"/>
                <w:szCs w:val="20"/>
              </w:rPr>
            </w:pPr>
            <w:r w:rsidRPr="00E944FA">
              <w:rPr>
                <w:rFonts w:eastAsia="Times New Roman" w:cs="Times New Roman"/>
                <w:color w:val="000000"/>
                <w:sz w:val="20"/>
                <w:szCs w:val="20"/>
              </w:rPr>
              <w:t>Barrio</w:t>
            </w:r>
          </w:p>
        </w:tc>
        <w:tc>
          <w:tcPr>
            <w:tcW w:w="527" w:type="pct"/>
            <w:tcBorders>
              <w:top w:val="single" w:sz="4" w:space="0" w:color="auto"/>
              <w:left w:val="nil"/>
              <w:bottom w:val="single" w:sz="4" w:space="0" w:color="auto"/>
              <w:right w:val="single" w:sz="4" w:space="0" w:color="auto"/>
            </w:tcBorders>
            <w:shd w:val="clear" w:color="000000" w:fill="FFF2CC"/>
            <w:vAlign w:val="center"/>
            <w:hideMark/>
          </w:tcPr>
          <w:p w14:paraId="08AB7B90"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Tos o dificultad para respirar</w:t>
            </w:r>
          </w:p>
        </w:tc>
        <w:tc>
          <w:tcPr>
            <w:tcW w:w="591" w:type="pct"/>
            <w:tcBorders>
              <w:top w:val="single" w:sz="4" w:space="0" w:color="auto"/>
              <w:left w:val="nil"/>
              <w:bottom w:val="single" w:sz="4" w:space="0" w:color="auto"/>
              <w:right w:val="single" w:sz="4" w:space="0" w:color="auto"/>
            </w:tcBorders>
            <w:shd w:val="clear" w:color="000000" w:fill="FFF2CC"/>
            <w:vAlign w:val="center"/>
            <w:hideMark/>
          </w:tcPr>
          <w:p w14:paraId="35AFF285"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Tos o dificultad para respirar 3 o más episodios</w:t>
            </w:r>
          </w:p>
        </w:tc>
        <w:tc>
          <w:tcPr>
            <w:tcW w:w="514" w:type="pct"/>
            <w:tcBorders>
              <w:top w:val="single" w:sz="4" w:space="0" w:color="auto"/>
              <w:left w:val="nil"/>
              <w:bottom w:val="single" w:sz="4" w:space="0" w:color="auto"/>
              <w:right w:val="single" w:sz="4" w:space="0" w:color="auto"/>
            </w:tcBorders>
            <w:shd w:val="clear" w:color="000000" w:fill="FFF2CC"/>
            <w:vAlign w:val="center"/>
            <w:hideMark/>
          </w:tcPr>
          <w:p w14:paraId="39F79C6D"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Diarreas</w:t>
            </w:r>
          </w:p>
        </w:tc>
        <w:tc>
          <w:tcPr>
            <w:tcW w:w="499" w:type="pct"/>
            <w:tcBorders>
              <w:top w:val="single" w:sz="4" w:space="0" w:color="auto"/>
              <w:left w:val="nil"/>
              <w:bottom w:val="single" w:sz="4" w:space="0" w:color="auto"/>
              <w:right w:val="single" w:sz="4" w:space="0" w:color="auto"/>
            </w:tcBorders>
            <w:shd w:val="clear" w:color="000000" w:fill="FFF2CC"/>
            <w:vAlign w:val="center"/>
            <w:hideMark/>
          </w:tcPr>
          <w:p w14:paraId="6B38DFB5"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Diarreas 3 o más episodios</w:t>
            </w:r>
          </w:p>
        </w:tc>
        <w:tc>
          <w:tcPr>
            <w:tcW w:w="502" w:type="pct"/>
            <w:tcBorders>
              <w:top w:val="single" w:sz="4" w:space="0" w:color="auto"/>
              <w:left w:val="nil"/>
              <w:bottom w:val="single" w:sz="4" w:space="0" w:color="auto"/>
              <w:right w:val="single" w:sz="4" w:space="0" w:color="auto"/>
            </w:tcBorders>
            <w:shd w:val="clear" w:color="000000" w:fill="FFF2CC"/>
            <w:vAlign w:val="center"/>
            <w:hideMark/>
          </w:tcPr>
          <w:p w14:paraId="7FEB01FC"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Parásitos</w:t>
            </w:r>
          </w:p>
        </w:tc>
        <w:tc>
          <w:tcPr>
            <w:tcW w:w="792" w:type="pct"/>
            <w:tcBorders>
              <w:top w:val="single" w:sz="4" w:space="0" w:color="auto"/>
              <w:left w:val="nil"/>
              <w:bottom w:val="single" w:sz="4" w:space="0" w:color="auto"/>
              <w:right w:val="single" w:sz="4" w:space="0" w:color="auto"/>
            </w:tcBorders>
            <w:shd w:val="clear" w:color="000000" w:fill="FFF2CC"/>
            <w:vAlign w:val="center"/>
            <w:hideMark/>
          </w:tcPr>
          <w:p w14:paraId="75B81BA7" w14:textId="77777777" w:rsidR="004F08A8" w:rsidRPr="00E944FA" w:rsidRDefault="004F08A8" w:rsidP="00786F8C">
            <w:pPr>
              <w:spacing w:line="240" w:lineRule="auto"/>
              <w:ind w:firstLine="0"/>
              <w:jc w:val="center"/>
              <w:rPr>
                <w:rFonts w:eastAsia="Times New Roman" w:cs="Times New Roman"/>
                <w:color w:val="000000"/>
                <w:sz w:val="20"/>
                <w:szCs w:val="20"/>
              </w:rPr>
            </w:pPr>
            <w:r w:rsidRPr="00E944FA">
              <w:rPr>
                <w:rFonts w:eastAsia="Times New Roman" w:cs="Times New Roman"/>
                <w:color w:val="000000"/>
                <w:sz w:val="20"/>
                <w:szCs w:val="20"/>
              </w:rPr>
              <w:t>Problemas Dermatológicos</w:t>
            </w:r>
          </w:p>
        </w:tc>
      </w:tr>
      <w:tr w:rsidR="004F08A8" w:rsidRPr="00E944FA" w14:paraId="11C294D2"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822C302"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1 de Octubre (Lomas de Zamora)</w:t>
            </w:r>
          </w:p>
        </w:tc>
        <w:tc>
          <w:tcPr>
            <w:tcW w:w="527" w:type="pct"/>
            <w:tcBorders>
              <w:top w:val="nil"/>
              <w:left w:val="nil"/>
              <w:bottom w:val="single" w:sz="4" w:space="0" w:color="auto"/>
              <w:right w:val="single" w:sz="4" w:space="0" w:color="auto"/>
            </w:tcBorders>
            <w:shd w:val="clear" w:color="auto" w:fill="auto"/>
            <w:noWrap/>
            <w:vAlign w:val="bottom"/>
            <w:hideMark/>
          </w:tcPr>
          <w:p w14:paraId="089FDB5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17,3%</w:t>
            </w:r>
          </w:p>
        </w:tc>
        <w:tc>
          <w:tcPr>
            <w:tcW w:w="591" w:type="pct"/>
            <w:tcBorders>
              <w:top w:val="nil"/>
              <w:left w:val="nil"/>
              <w:bottom w:val="single" w:sz="4" w:space="0" w:color="auto"/>
              <w:right w:val="single" w:sz="4" w:space="0" w:color="auto"/>
            </w:tcBorders>
            <w:shd w:val="clear" w:color="auto" w:fill="auto"/>
            <w:noWrap/>
            <w:vAlign w:val="bottom"/>
            <w:hideMark/>
          </w:tcPr>
          <w:p w14:paraId="77ADD07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7,1%</w:t>
            </w:r>
          </w:p>
        </w:tc>
        <w:tc>
          <w:tcPr>
            <w:tcW w:w="514" w:type="pct"/>
            <w:tcBorders>
              <w:top w:val="nil"/>
              <w:left w:val="nil"/>
              <w:bottom w:val="single" w:sz="4" w:space="0" w:color="auto"/>
              <w:right w:val="single" w:sz="4" w:space="0" w:color="auto"/>
            </w:tcBorders>
            <w:shd w:val="clear" w:color="auto" w:fill="auto"/>
            <w:noWrap/>
            <w:vAlign w:val="bottom"/>
            <w:hideMark/>
          </w:tcPr>
          <w:p w14:paraId="6222A8B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c>
          <w:tcPr>
            <w:tcW w:w="499" w:type="pct"/>
            <w:tcBorders>
              <w:top w:val="nil"/>
              <w:left w:val="nil"/>
              <w:bottom w:val="single" w:sz="4" w:space="0" w:color="auto"/>
              <w:right w:val="single" w:sz="4" w:space="0" w:color="auto"/>
            </w:tcBorders>
            <w:shd w:val="clear" w:color="auto" w:fill="auto"/>
            <w:noWrap/>
            <w:vAlign w:val="bottom"/>
            <w:hideMark/>
          </w:tcPr>
          <w:p w14:paraId="66AE4AC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7,1%</w:t>
            </w:r>
          </w:p>
        </w:tc>
        <w:tc>
          <w:tcPr>
            <w:tcW w:w="502" w:type="pct"/>
            <w:tcBorders>
              <w:top w:val="nil"/>
              <w:left w:val="nil"/>
              <w:bottom w:val="single" w:sz="4" w:space="0" w:color="auto"/>
              <w:right w:val="single" w:sz="4" w:space="0" w:color="auto"/>
            </w:tcBorders>
            <w:shd w:val="clear" w:color="auto" w:fill="auto"/>
            <w:noWrap/>
            <w:vAlign w:val="bottom"/>
            <w:hideMark/>
          </w:tcPr>
          <w:p w14:paraId="4777317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13,3%</w:t>
            </w:r>
          </w:p>
        </w:tc>
        <w:tc>
          <w:tcPr>
            <w:tcW w:w="792" w:type="pct"/>
            <w:tcBorders>
              <w:top w:val="nil"/>
              <w:left w:val="nil"/>
              <w:bottom w:val="single" w:sz="4" w:space="0" w:color="auto"/>
              <w:right w:val="single" w:sz="4" w:space="0" w:color="auto"/>
            </w:tcBorders>
            <w:shd w:val="clear" w:color="auto" w:fill="auto"/>
            <w:noWrap/>
            <w:vAlign w:val="bottom"/>
            <w:hideMark/>
          </w:tcPr>
          <w:p w14:paraId="42B0C00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18,4%</w:t>
            </w:r>
          </w:p>
        </w:tc>
      </w:tr>
      <w:tr w:rsidR="004F08A8" w:rsidRPr="00E944FA" w14:paraId="6EBCB7E3"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0D40771"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2 de mayo (Lomas de Zamora)</w:t>
            </w:r>
          </w:p>
        </w:tc>
        <w:tc>
          <w:tcPr>
            <w:tcW w:w="527" w:type="pct"/>
            <w:tcBorders>
              <w:top w:val="nil"/>
              <w:left w:val="nil"/>
              <w:bottom w:val="single" w:sz="4" w:space="0" w:color="auto"/>
              <w:right w:val="single" w:sz="4" w:space="0" w:color="auto"/>
            </w:tcBorders>
            <w:shd w:val="clear" w:color="auto" w:fill="auto"/>
            <w:noWrap/>
            <w:vAlign w:val="bottom"/>
            <w:hideMark/>
          </w:tcPr>
          <w:p w14:paraId="112E5B0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21,5%</w:t>
            </w:r>
          </w:p>
        </w:tc>
        <w:tc>
          <w:tcPr>
            <w:tcW w:w="591" w:type="pct"/>
            <w:tcBorders>
              <w:top w:val="nil"/>
              <w:left w:val="nil"/>
              <w:bottom w:val="single" w:sz="4" w:space="0" w:color="auto"/>
              <w:right w:val="single" w:sz="4" w:space="0" w:color="auto"/>
            </w:tcBorders>
            <w:shd w:val="clear" w:color="auto" w:fill="auto"/>
            <w:noWrap/>
            <w:vAlign w:val="bottom"/>
            <w:hideMark/>
          </w:tcPr>
          <w:p w14:paraId="3A66375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9,2%</w:t>
            </w:r>
          </w:p>
        </w:tc>
        <w:tc>
          <w:tcPr>
            <w:tcW w:w="514" w:type="pct"/>
            <w:tcBorders>
              <w:top w:val="nil"/>
              <w:left w:val="nil"/>
              <w:bottom w:val="single" w:sz="4" w:space="0" w:color="auto"/>
              <w:right w:val="single" w:sz="4" w:space="0" w:color="auto"/>
            </w:tcBorders>
            <w:shd w:val="clear" w:color="auto" w:fill="auto"/>
            <w:noWrap/>
            <w:vAlign w:val="bottom"/>
            <w:hideMark/>
          </w:tcPr>
          <w:p w14:paraId="7E66CA3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6,2%</w:t>
            </w:r>
          </w:p>
        </w:tc>
        <w:tc>
          <w:tcPr>
            <w:tcW w:w="499" w:type="pct"/>
            <w:tcBorders>
              <w:top w:val="nil"/>
              <w:left w:val="nil"/>
              <w:bottom w:val="single" w:sz="4" w:space="0" w:color="auto"/>
              <w:right w:val="single" w:sz="4" w:space="0" w:color="auto"/>
            </w:tcBorders>
            <w:shd w:val="clear" w:color="auto" w:fill="auto"/>
            <w:noWrap/>
            <w:vAlign w:val="bottom"/>
            <w:hideMark/>
          </w:tcPr>
          <w:p w14:paraId="4869961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502" w:type="pct"/>
            <w:tcBorders>
              <w:top w:val="nil"/>
              <w:left w:val="nil"/>
              <w:bottom w:val="single" w:sz="4" w:space="0" w:color="auto"/>
              <w:right w:val="single" w:sz="4" w:space="0" w:color="auto"/>
            </w:tcBorders>
            <w:shd w:val="clear" w:color="auto" w:fill="auto"/>
            <w:noWrap/>
            <w:vAlign w:val="bottom"/>
            <w:hideMark/>
          </w:tcPr>
          <w:p w14:paraId="15B0146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10,8%</w:t>
            </w:r>
          </w:p>
        </w:tc>
        <w:tc>
          <w:tcPr>
            <w:tcW w:w="792" w:type="pct"/>
            <w:tcBorders>
              <w:top w:val="nil"/>
              <w:left w:val="nil"/>
              <w:bottom w:val="single" w:sz="4" w:space="0" w:color="auto"/>
              <w:right w:val="single" w:sz="4" w:space="0" w:color="auto"/>
            </w:tcBorders>
            <w:shd w:val="clear" w:color="auto" w:fill="auto"/>
            <w:noWrap/>
            <w:vAlign w:val="bottom"/>
            <w:hideMark/>
          </w:tcPr>
          <w:p w14:paraId="1F0A71C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9,2%</w:t>
            </w:r>
          </w:p>
        </w:tc>
      </w:tr>
      <w:tr w:rsidR="004F08A8" w:rsidRPr="00E944FA" w14:paraId="791663BC"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58E76750"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24 viviendas (Lomas de Zamora)</w:t>
            </w:r>
          </w:p>
        </w:tc>
        <w:tc>
          <w:tcPr>
            <w:tcW w:w="527" w:type="pct"/>
            <w:tcBorders>
              <w:top w:val="nil"/>
              <w:left w:val="nil"/>
              <w:bottom w:val="single" w:sz="4" w:space="0" w:color="auto"/>
              <w:right w:val="single" w:sz="4" w:space="0" w:color="auto"/>
            </w:tcBorders>
            <w:shd w:val="clear" w:color="auto" w:fill="auto"/>
            <w:noWrap/>
            <w:vAlign w:val="bottom"/>
            <w:hideMark/>
          </w:tcPr>
          <w:p w14:paraId="40735EF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91" w:type="pct"/>
            <w:tcBorders>
              <w:top w:val="nil"/>
              <w:left w:val="nil"/>
              <w:bottom w:val="single" w:sz="4" w:space="0" w:color="auto"/>
              <w:right w:val="single" w:sz="4" w:space="0" w:color="auto"/>
            </w:tcBorders>
            <w:shd w:val="clear" w:color="auto" w:fill="auto"/>
            <w:noWrap/>
            <w:vAlign w:val="bottom"/>
            <w:hideMark/>
          </w:tcPr>
          <w:p w14:paraId="250F5A6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14" w:type="pct"/>
            <w:tcBorders>
              <w:top w:val="nil"/>
              <w:left w:val="nil"/>
              <w:bottom w:val="single" w:sz="4" w:space="0" w:color="auto"/>
              <w:right w:val="single" w:sz="4" w:space="0" w:color="auto"/>
            </w:tcBorders>
            <w:shd w:val="clear" w:color="auto" w:fill="auto"/>
            <w:noWrap/>
            <w:vAlign w:val="bottom"/>
            <w:hideMark/>
          </w:tcPr>
          <w:p w14:paraId="590C53D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c>
          <w:tcPr>
            <w:tcW w:w="499" w:type="pct"/>
            <w:tcBorders>
              <w:top w:val="nil"/>
              <w:left w:val="nil"/>
              <w:bottom w:val="single" w:sz="4" w:space="0" w:color="auto"/>
              <w:right w:val="single" w:sz="4" w:space="0" w:color="auto"/>
            </w:tcBorders>
            <w:shd w:val="clear" w:color="auto" w:fill="auto"/>
            <w:noWrap/>
            <w:vAlign w:val="bottom"/>
            <w:hideMark/>
          </w:tcPr>
          <w:p w14:paraId="48F88BC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c>
          <w:tcPr>
            <w:tcW w:w="502" w:type="pct"/>
            <w:tcBorders>
              <w:top w:val="nil"/>
              <w:left w:val="nil"/>
              <w:bottom w:val="single" w:sz="4" w:space="0" w:color="auto"/>
              <w:right w:val="single" w:sz="4" w:space="0" w:color="auto"/>
            </w:tcBorders>
            <w:shd w:val="clear" w:color="auto" w:fill="auto"/>
            <w:noWrap/>
            <w:vAlign w:val="bottom"/>
            <w:hideMark/>
          </w:tcPr>
          <w:p w14:paraId="0217787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28,6%</w:t>
            </w:r>
          </w:p>
        </w:tc>
        <w:tc>
          <w:tcPr>
            <w:tcW w:w="792" w:type="pct"/>
            <w:tcBorders>
              <w:top w:val="nil"/>
              <w:left w:val="nil"/>
              <w:bottom w:val="single" w:sz="4" w:space="0" w:color="auto"/>
              <w:right w:val="single" w:sz="4" w:space="0" w:color="auto"/>
            </w:tcBorders>
            <w:shd w:val="clear" w:color="auto" w:fill="auto"/>
            <w:noWrap/>
            <w:vAlign w:val="bottom"/>
            <w:hideMark/>
          </w:tcPr>
          <w:p w14:paraId="5975038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r>
      <w:tr w:rsidR="004F08A8" w:rsidRPr="00E944FA" w14:paraId="6E8B72A5" w14:textId="77777777" w:rsidTr="00E944FA">
        <w:trPr>
          <w:trHeight w:hRule="exact" w:val="52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6AFD0B85" w14:textId="56B97B1F"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9 de Enero /Los Álamos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08AFE0A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15,6%</w:t>
            </w:r>
          </w:p>
        </w:tc>
        <w:tc>
          <w:tcPr>
            <w:tcW w:w="591" w:type="pct"/>
            <w:tcBorders>
              <w:top w:val="nil"/>
              <w:left w:val="nil"/>
              <w:bottom w:val="single" w:sz="4" w:space="0" w:color="auto"/>
              <w:right w:val="single" w:sz="4" w:space="0" w:color="auto"/>
            </w:tcBorders>
            <w:shd w:val="clear" w:color="auto" w:fill="auto"/>
            <w:noWrap/>
            <w:vAlign w:val="bottom"/>
            <w:hideMark/>
          </w:tcPr>
          <w:p w14:paraId="5E496F4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4,9%</w:t>
            </w:r>
          </w:p>
        </w:tc>
        <w:tc>
          <w:tcPr>
            <w:tcW w:w="514" w:type="pct"/>
            <w:tcBorders>
              <w:top w:val="nil"/>
              <w:left w:val="nil"/>
              <w:bottom w:val="single" w:sz="4" w:space="0" w:color="auto"/>
              <w:right w:val="single" w:sz="4" w:space="0" w:color="auto"/>
            </w:tcBorders>
            <w:shd w:val="clear" w:color="auto" w:fill="auto"/>
            <w:noWrap/>
            <w:vAlign w:val="bottom"/>
            <w:hideMark/>
          </w:tcPr>
          <w:p w14:paraId="423FF5F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8,2%</w:t>
            </w:r>
          </w:p>
        </w:tc>
        <w:tc>
          <w:tcPr>
            <w:tcW w:w="499" w:type="pct"/>
            <w:tcBorders>
              <w:top w:val="nil"/>
              <w:left w:val="nil"/>
              <w:bottom w:val="single" w:sz="4" w:space="0" w:color="auto"/>
              <w:right w:val="single" w:sz="4" w:space="0" w:color="auto"/>
            </w:tcBorders>
            <w:shd w:val="clear" w:color="auto" w:fill="auto"/>
            <w:noWrap/>
            <w:vAlign w:val="bottom"/>
            <w:hideMark/>
          </w:tcPr>
          <w:p w14:paraId="2ACC4E3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4,1%</w:t>
            </w:r>
          </w:p>
        </w:tc>
        <w:tc>
          <w:tcPr>
            <w:tcW w:w="502" w:type="pct"/>
            <w:tcBorders>
              <w:top w:val="nil"/>
              <w:left w:val="nil"/>
              <w:bottom w:val="single" w:sz="4" w:space="0" w:color="auto"/>
              <w:right w:val="single" w:sz="4" w:space="0" w:color="auto"/>
            </w:tcBorders>
            <w:shd w:val="clear" w:color="auto" w:fill="auto"/>
            <w:noWrap/>
            <w:vAlign w:val="bottom"/>
            <w:hideMark/>
          </w:tcPr>
          <w:p w14:paraId="7AE1580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4,9%</w:t>
            </w:r>
          </w:p>
        </w:tc>
        <w:tc>
          <w:tcPr>
            <w:tcW w:w="792" w:type="pct"/>
            <w:tcBorders>
              <w:top w:val="nil"/>
              <w:left w:val="nil"/>
              <w:bottom w:val="single" w:sz="4" w:space="0" w:color="auto"/>
              <w:right w:val="single" w:sz="4" w:space="0" w:color="auto"/>
            </w:tcBorders>
            <w:shd w:val="clear" w:color="auto" w:fill="auto"/>
            <w:noWrap/>
            <w:vAlign w:val="bottom"/>
            <w:hideMark/>
          </w:tcPr>
          <w:p w14:paraId="31FA689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8,2%</w:t>
            </w:r>
          </w:p>
        </w:tc>
      </w:tr>
      <w:tr w:rsidR="004F08A8" w:rsidRPr="00E944FA" w14:paraId="58962832"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6BA2590"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Libertad (Cañuelas)</w:t>
            </w:r>
          </w:p>
        </w:tc>
        <w:tc>
          <w:tcPr>
            <w:tcW w:w="527" w:type="pct"/>
            <w:tcBorders>
              <w:top w:val="nil"/>
              <w:left w:val="nil"/>
              <w:bottom w:val="single" w:sz="4" w:space="0" w:color="auto"/>
              <w:right w:val="single" w:sz="4" w:space="0" w:color="auto"/>
            </w:tcBorders>
            <w:shd w:val="clear" w:color="auto" w:fill="auto"/>
            <w:noWrap/>
            <w:vAlign w:val="bottom"/>
            <w:hideMark/>
          </w:tcPr>
          <w:p w14:paraId="5E400EC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8,5%</w:t>
            </w:r>
          </w:p>
        </w:tc>
        <w:tc>
          <w:tcPr>
            <w:tcW w:w="591" w:type="pct"/>
            <w:tcBorders>
              <w:top w:val="nil"/>
              <w:left w:val="nil"/>
              <w:bottom w:val="single" w:sz="4" w:space="0" w:color="auto"/>
              <w:right w:val="single" w:sz="4" w:space="0" w:color="auto"/>
            </w:tcBorders>
            <w:shd w:val="clear" w:color="auto" w:fill="auto"/>
            <w:noWrap/>
            <w:vAlign w:val="bottom"/>
            <w:hideMark/>
          </w:tcPr>
          <w:p w14:paraId="5A84DAA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2,6%</w:t>
            </w:r>
          </w:p>
        </w:tc>
        <w:tc>
          <w:tcPr>
            <w:tcW w:w="514" w:type="pct"/>
            <w:tcBorders>
              <w:top w:val="nil"/>
              <w:left w:val="nil"/>
              <w:bottom w:val="single" w:sz="4" w:space="0" w:color="auto"/>
              <w:right w:val="single" w:sz="4" w:space="0" w:color="auto"/>
            </w:tcBorders>
            <w:shd w:val="clear" w:color="auto" w:fill="auto"/>
            <w:noWrap/>
            <w:vAlign w:val="bottom"/>
            <w:hideMark/>
          </w:tcPr>
          <w:p w14:paraId="35C57FD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11,1%</w:t>
            </w:r>
          </w:p>
        </w:tc>
        <w:tc>
          <w:tcPr>
            <w:tcW w:w="499" w:type="pct"/>
            <w:tcBorders>
              <w:top w:val="nil"/>
              <w:left w:val="nil"/>
              <w:bottom w:val="single" w:sz="4" w:space="0" w:color="auto"/>
              <w:right w:val="single" w:sz="4" w:space="0" w:color="auto"/>
            </w:tcBorders>
            <w:shd w:val="clear" w:color="auto" w:fill="auto"/>
            <w:noWrap/>
            <w:vAlign w:val="bottom"/>
            <w:hideMark/>
          </w:tcPr>
          <w:p w14:paraId="74C5BA3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4,3%</w:t>
            </w:r>
          </w:p>
        </w:tc>
        <w:tc>
          <w:tcPr>
            <w:tcW w:w="502" w:type="pct"/>
            <w:tcBorders>
              <w:top w:val="nil"/>
              <w:left w:val="nil"/>
              <w:bottom w:val="single" w:sz="4" w:space="0" w:color="auto"/>
              <w:right w:val="single" w:sz="4" w:space="0" w:color="auto"/>
            </w:tcBorders>
            <w:shd w:val="clear" w:color="auto" w:fill="auto"/>
            <w:noWrap/>
            <w:vAlign w:val="bottom"/>
            <w:hideMark/>
          </w:tcPr>
          <w:p w14:paraId="60858D6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6,0%</w:t>
            </w:r>
          </w:p>
        </w:tc>
        <w:tc>
          <w:tcPr>
            <w:tcW w:w="792" w:type="pct"/>
            <w:tcBorders>
              <w:top w:val="nil"/>
              <w:left w:val="nil"/>
              <w:bottom w:val="single" w:sz="4" w:space="0" w:color="auto"/>
              <w:right w:val="single" w:sz="4" w:space="0" w:color="auto"/>
            </w:tcBorders>
            <w:shd w:val="clear" w:color="auto" w:fill="auto"/>
            <w:noWrap/>
            <w:vAlign w:val="bottom"/>
            <w:hideMark/>
          </w:tcPr>
          <w:p w14:paraId="7E8F3FF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2,6%</w:t>
            </w:r>
          </w:p>
        </w:tc>
      </w:tr>
      <w:tr w:rsidR="004F08A8" w:rsidRPr="00E944FA" w14:paraId="53789C3A"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390E002"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Nuevo (Merlo)</w:t>
            </w:r>
          </w:p>
        </w:tc>
        <w:tc>
          <w:tcPr>
            <w:tcW w:w="527" w:type="pct"/>
            <w:tcBorders>
              <w:top w:val="nil"/>
              <w:left w:val="nil"/>
              <w:bottom w:val="single" w:sz="4" w:space="0" w:color="auto"/>
              <w:right w:val="single" w:sz="4" w:space="0" w:color="auto"/>
            </w:tcBorders>
            <w:shd w:val="clear" w:color="auto" w:fill="auto"/>
            <w:noWrap/>
            <w:vAlign w:val="bottom"/>
            <w:hideMark/>
          </w:tcPr>
          <w:p w14:paraId="37EE580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11,9%</w:t>
            </w:r>
          </w:p>
        </w:tc>
        <w:tc>
          <w:tcPr>
            <w:tcW w:w="591" w:type="pct"/>
            <w:tcBorders>
              <w:top w:val="nil"/>
              <w:left w:val="nil"/>
              <w:bottom w:val="single" w:sz="4" w:space="0" w:color="auto"/>
              <w:right w:val="single" w:sz="4" w:space="0" w:color="auto"/>
            </w:tcBorders>
            <w:shd w:val="clear" w:color="auto" w:fill="auto"/>
            <w:noWrap/>
            <w:vAlign w:val="bottom"/>
            <w:hideMark/>
          </w:tcPr>
          <w:p w14:paraId="4DB42AA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3,0%</w:t>
            </w:r>
          </w:p>
        </w:tc>
        <w:tc>
          <w:tcPr>
            <w:tcW w:w="514" w:type="pct"/>
            <w:tcBorders>
              <w:top w:val="nil"/>
              <w:left w:val="nil"/>
              <w:bottom w:val="single" w:sz="4" w:space="0" w:color="auto"/>
              <w:right w:val="single" w:sz="4" w:space="0" w:color="auto"/>
            </w:tcBorders>
            <w:shd w:val="clear" w:color="auto" w:fill="auto"/>
            <w:noWrap/>
            <w:vAlign w:val="bottom"/>
            <w:hideMark/>
          </w:tcPr>
          <w:p w14:paraId="13D5639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12,5%</w:t>
            </w:r>
          </w:p>
        </w:tc>
        <w:tc>
          <w:tcPr>
            <w:tcW w:w="499" w:type="pct"/>
            <w:tcBorders>
              <w:top w:val="nil"/>
              <w:left w:val="nil"/>
              <w:bottom w:val="single" w:sz="4" w:space="0" w:color="auto"/>
              <w:right w:val="single" w:sz="4" w:space="0" w:color="auto"/>
            </w:tcBorders>
            <w:shd w:val="clear" w:color="auto" w:fill="auto"/>
            <w:noWrap/>
            <w:vAlign w:val="bottom"/>
            <w:hideMark/>
          </w:tcPr>
          <w:p w14:paraId="7C5B968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4,2%</w:t>
            </w:r>
          </w:p>
        </w:tc>
        <w:tc>
          <w:tcPr>
            <w:tcW w:w="502" w:type="pct"/>
            <w:tcBorders>
              <w:top w:val="nil"/>
              <w:left w:val="nil"/>
              <w:bottom w:val="single" w:sz="4" w:space="0" w:color="auto"/>
              <w:right w:val="single" w:sz="4" w:space="0" w:color="auto"/>
            </w:tcBorders>
            <w:shd w:val="clear" w:color="auto" w:fill="auto"/>
            <w:noWrap/>
            <w:vAlign w:val="bottom"/>
            <w:hideMark/>
          </w:tcPr>
          <w:p w14:paraId="60AA11E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6,5%</w:t>
            </w:r>
          </w:p>
        </w:tc>
        <w:tc>
          <w:tcPr>
            <w:tcW w:w="792" w:type="pct"/>
            <w:tcBorders>
              <w:top w:val="nil"/>
              <w:left w:val="nil"/>
              <w:bottom w:val="single" w:sz="4" w:space="0" w:color="auto"/>
              <w:right w:val="single" w:sz="4" w:space="0" w:color="auto"/>
            </w:tcBorders>
            <w:shd w:val="clear" w:color="auto" w:fill="auto"/>
            <w:noWrap/>
            <w:vAlign w:val="bottom"/>
            <w:hideMark/>
          </w:tcPr>
          <w:p w14:paraId="777EB87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8,9%</w:t>
            </w:r>
          </w:p>
        </w:tc>
      </w:tr>
      <w:tr w:rsidR="004F08A8" w:rsidRPr="00E944FA" w14:paraId="05E16694"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550E50FC"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Barrio Obrero (CABA)</w:t>
            </w:r>
          </w:p>
        </w:tc>
        <w:tc>
          <w:tcPr>
            <w:tcW w:w="527" w:type="pct"/>
            <w:tcBorders>
              <w:top w:val="nil"/>
              <w:left w:val="nil"/>
              <w:bottom w:val="single" w:sz="4" w:space="0" w:color="auto"/>
              <w:right w:val="single" w:sz="4" w:space="0" w:color="auto"/>
            </w:tcBorders>
            <w:shd w:val="clear" w:color="auto" w:fill="auto"/>
            <w:noWrap/>
            <w:vAlign w:val="bottom"/>
            <w:hideMark/>
          </w:tcPr>
          <w:p w14:paraId="2145AD5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16,7%</w:t>
            </w:r>
          </w:p>
        </w:tc>
        <w:tc>
          <w:tcPr>
            <w:tcW w:w="591" w:type="pct"/>
            <w:tcBorders>
              <w:top w:val="nil"/>
              <w:left w:val="nil"/>
              <w:bottom w:val="single" w:sz="4" w:space="0" w:color="auto"/>
              <w:right w:val="single" w:sz="4" w:space="0" w:color="auto"/>
            </w:tcBorders>
            <w:shd w:val="clear" w:color="auto" w:fill="auto"/>
            <w:noWrap/>
            <w:vAlign w:val="bottom"/>
            <w:hideMark/>
          </w:tcPr>
          <w:p w14:paraId="0916A0C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14" w:type="pct"/>
            <w:tcBorders>
              <w:top w:val="nil"/>
              <w:left w:val="nil"/>
              <w:bottom w:val="single" w:sz="4" w:space="0" w:color="auto"/>
              <w:right w:val="single" w:sz="4" w:space="0" w:color="auto"/>
            </w:tcBorders>
            <w:shd w:val="clear" w:color="auto" w:fill="auto"/>
            <w:noWrap/>
            <w:vAlign w:val="bottom"/>
            <w:hideMark/>
          </w:tcPr>
          <w:p w14:paraId="44225CB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8,3%</w:t>
            </w:r>
          </w:p>
        </w:tc>
        <w:tc>
          <w:tcPr>
            <w:tcW w:w="499" w:type="pct"/>
            <w:tcBorders>
              <w:top w:val="nil"/>
              <w:left w:val="nil"/>
              <w:bottom w:val="single" w:sz="4" w:space="0" w:color="auto"/>
              <w:right w:val="single" w:sz="4" w:space="0" w:color="auto"/>
            </w:tcBorders>
            <w:shd w:val="clear" w:color="auto" w:fill="auto"/>
            <w:noWrap/>
            <w:vAlign w:val="bottom"/>
            <w:hideMark/>
          </w:tcPr>
          <w:p w14:paraId="754BA65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7238DA2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8,3%</w:t>
            </w:r>
          </w:p>
        </w:tc>
        <w:tc>
          <w:tcPr>
            <w:tcW w:w="792" w:type="pct"/>
            <w:tcBorders>
              <w:top w:val="nil"/>
              <w:left w:val="nil"/>
              <w:bottom w:val="single" w:sz="4" w:space="0" w:color="auto"/>
              <w:right w:val="single" w:sz="4" w:space="0" w:color="auto"/>
            </w:tcBorders>
            <w:shd w:val="clear" w:color="auto" w:fill="auto"/>
            <w:noWrap/>
            <w:vAlign w:val="bottom"/>
            <w:hideMark/>
          </w:tcPr>
          <w:p w14:paraId="0A15EAE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8,3%</w:t>
            </w:r>
          </w:p>
        </w:tc>
      </w:tr>
      <w:tr w:rsidR="004F08A8" w:rsidRPr="00E944FA" w14:paraId="55205231"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3328FA42"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Bermejo (CABA)</w:t>
            </w:r>
          </w:p>
        </w:tc>
        <w:tc>
          <w:tcPr>
            <w:tcW w:w="527" w:type="pct"/>
            <w:tcBorders>
              <w:top w:val="nil"/>
              <w:left w:val="nil"/>
              <w:bottom w:val="single" w:sz="4" w:space="0" w:color="auto"/>
              <w:right w:val="single" w:sz="4" w:space="0" w:color="auto"/>
            </w:tcBorders>
            <w:shd w:val="clear" w:color="auto" w:fill="auto"/>
            <w:noWrap/>
            <w:vAlign w:val="bottom"/>
            <w:hideMark/>
          </w:tcPr>
          <w:p w14:paraId="46157C2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22,7%</w:t>
            </w:r>
          </w:p>
        </w:tc>
        <w:tc>
          <w:tcPr>
            <w:tcW w:w="591" w:type="pct"/>
            <w:tcBorders>
              <w:top w:val="nil"/>
              <w:left w:val="nil"/>
              <w:bottom w:val="single" w:sz="4" w:space="0" w:color="auto"/>
              <w:right w:val="single" w:sz="4" w:space="0" w:color="auto"/>
            </w:tcBorders>
            <w:shd w:val="clear" w:color="auto" w:fill="auto"/>
            <w:noWrap/>
            <w:vAlign w:val="bottom"/>
            <w:hideMark/>
          </w:tcPr>
          <w:p w14:paraId="4149F87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22,7%</w:t>
            </w:r>
          </w:p>
        </w:tc>
        <w:tc>
          <w:tcPr>
            <w:tcW w:w="514" w:type="pct"/>
            <w:tcBorders>
              <w:top w:val="nil"/>
              <w:left w:val="nil"/>
              <w:bottom w:val="single" w:sz="4" w:space="0" w:color="auto"/>
              <w:right w:val="single" w:sz="4" w:space="0" w:color="auto"/>
            </w:tcBorders>
            <w:shd w:val="clear" w:color="auto" w:fill="auto"/>
            <w:noWrap/>
            <w:vAlign w:val="bottom"/>
            <w:hideMark/>
          </w:tcPr>
          <w:p w14:paraId="4DCE659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27,3%</w:t>
            </w:r>
          </w:p>
        </w:tc>
        <w:tc>
          <w:tcPr>
            <w:tcW w:w="499" w:type="pct"/>
            <w:tcBorders>
              <w:top w:val="nil"/>
              <w:left w:val="nil"/>
              <w:bottom w:val="single" w:sz="4" w:space="0" w:color="auto"/>
              <w:right w:val="single" w:sz="4" w:space="0" w:color="auto"/>
            </w:tcBorders>
            <w:shd w:val="clear" w:color="auto" w:fill="auto"/>
            <w:noWrap/>
            <w:vAlign w:val="bottom"/>
            <w:hideMark/>
          </w:tcPr>
          <w:p w14:paraId="021D3D9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13,6%</w:t>
            </w:r>
          </w:p>
        </w:tc>
        <w:tc>
          <w:tcPr>
            <w:tcW w:w="502" w:type="pct"/>
            <w:tcBorders>
              <w:top w:val="nil"/>
              <w:left w:val="nil"/>
              <w:bottom w:val="single" w:sz="4" w:space="0" w:color="auto"/>
              <w:right w:val="single" w:sz="4" w:space="0" w:color="auto"/>
            </w:tcBorders>
            <w:shd w:val="clear" w:color="auto" w:fill="auto"/>
            <w:noWrap/>
            <w:vAlign w:val="bottom"/>
            <w:hideMark/>
          </w:tcPr>
          <w:p w14:paraId="36CF64A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4,5%</w:t>
            </w:r>
          </w:p>
        </w:tc>
        <w:tc>
          <w:tcPr>
            <w:tcW w:w="792" w:type="pct"/>
            <w:tcBorders>
              <w:top w:val="nil"/>
              <w:left w:val="nil"/>
              <w:bottom w:val="single" w:sz="4" w:space="0" w:color="auto"/>
              <w:right w:val="single" w:sz="4" w:space="0" w:color="auto"/>
            </w:tcBorders>
            <w:shd w:val="clear" w:color="auto" w:fill="auto"/>
            <w:noWrap/>
            <w:vAlign w:val="bottom"/>
            <w:hideMark/>
          </w:tcPr>
          <w:p w14:paraId="4D551C0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4,5%</w:t>
            </w:r>
          </w:p>
        </w:tc>
      </w:tr>
      <w:tr w:rsidR="004F08A8" w:rsidRPr="00E944FA" w14:paraId="06A18CA1"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53FDF6FE"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El Ombú (Cañuelas)</w:t>
            </w:r>
          </w:p>
        </w:tc>
        <w:tc>
          <w:tcPr>
            <w:tcW w:w="527" w:type="pct"/>
            <w:tcBorders>
              <w:top w:val="nil"/>
              <w:left w:val="nil"/>
              <w:bottom w:val="single" w:sz="4" w:space="0" w:color="auto"/>
              <w:right w:val="single" w:sz="4" w:space="0" w:color="auto"/>
            </w:tcBorders>
            <w:shd w:val="clear" w:color="auto" w:fill="auto"/>
            <w:noWrap/>
            <w:vAlign w:val="bottom"/>
            <w:hideMark/>
          </w:tcPr>
          <w:p w14:paraId="50F95C4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7,0%</w:t>
            </w:r>
          </w:p>
        </w:tc>
        <w:tc>
          <w:tcPr>
            <w:tcW w:w="591" w:type="pct"/>
            <w:tcBorders>
              <w:top w:val="nil"/>
              <w:left w:val="nil"/>
              <w:bottom w:val="single" w:sz="4" w:space="0" w:color="auto"/>
              <w:right w:val="single" w:sz="4" w:space="0" w:color="auto"/>
            </w:tcBorders>
            <w:shd w:val="clear" w:color="auto" w:fill="auto"/>
            <w:noWrap/>
            <w:vAlign w:val="bottom"/>
            <w:hideMark/>
          </w:tcPr>
          <w:p w14:paraId="09558F6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7,0%</w:t>
            </w:r>
          </w:p>
        </w:tc>
        <w:tc>
          <w:tcPr>
            <w:tcW w:w="514" w:type="pct"/>
            <w:tcBorders>
              <w:top w:val="nil"/>
              <w:left w:val="nil"/>
              <w:bottom w:val="single" w:sz="4" w:space="0" w:color="auto"/>
              <w:right w:val="single" w:sz="4" w:space="0" w:color="auto"/>
            </w:tcBorders>
            <w:shd w:val="clear" w:color="auto" w:fill="auto"/>
            <w:noWrap/>
            <w:vAlign w:val="bottom"/>
            <w:hideMark/>
          </w:tcPr>
          <w:p w14:paraId="326BD93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18,6%</w:t>
            </w:r>
          </w:p>
        </w:tc>
        <w:tc>
          <w:tcPr>
            <w:tcW w:w="499" w:type="pct"/>
            <w:tcBorders>
              <w:top w:val="nil"/>
              <w:left w:val="nil"/>
              <w:bottom w:val="single" w:sz="4" w:space="0" w:color="auto"/>
              <w:right w:val="single" w:sz="4" w:space="0" w:color="auto"/>
            </w:tcBorders>
            <w:shd w:val="clear" w:color="auto" w:fill="auto"/>
            <w:noWrap/>
            <w:vAlign w:val="bottom"/>
            <w:hideMark/>
          </w:tcPr>
          <w:p w14:paraId="6E7992B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11,6%</w:t>
            </w:r>
          </w:p>
        </w:tc>
        <w:tc>
          <w:tcPr>
            <w:tcW w:w="502" w:type="pct"/>
            <w:tcBorders>
              <w:top w:val="nil"/>
              <w:left w:val="nil"/>
              <w:bottom w:val="single" w:sz="4" w:space="0" w:color="auto"/>
              <w:right w:val="single" w:sz="4" w:space="0" w:color="auto"/>
            </w:tcBorders>
            <w:shd w:val="clear" w:color="auto" w:fill="auto"/>
            <w:noWrap/>
            <w:vAlign w:val="bottom"/>
            <w:hideMark/>
          </w:tcPr>
          <w:p w14:paraId="48FE27A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16,3%</w:t>
            </w:r>
          </w:p>
        </w:tc>
        <w:tc>
          <w:tcPr>
            <w:tcW w:w="792" w:type="pct"/>
            <w:tcBorders>
              <w:top w:val="nil"/>
              <w:left w:val="nil"/>
              <w:bottom w:val="single" w:sz="4" w:space="0" w:color="auto"/>
              <w:right w:val="single" w:sz="4" w:space="0" w:color="auto"/>
            </w:tcBorders>
            <w:shd w:val="clear" w:color="auto" w:fill="auto"/>
            <w:noWrap/>
            <w:vAlign w:val="bottom"/>
            <w:hideMark/>
          </w:tcPr>
          <w:p w14:paraId="594351A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9,3%</w:t>
            </w:r>
          </w:p>
        </w:tc>
      </w:tr>
      <w:tr w:rsidR="004F08A8" w:rsidRPr="00E944FA" w14:paraId="4A3CB206"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E9CBF19"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El Parque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5E5C0E4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22,2%</w:t>
            </w:r>
          </w:p>
        </w:tc>
        <w:tc>
          <w:tcPr>
            <w:tcW w:w="591" w:type="pct"/>
            <w:tcBorders>
              <w:top w:val="nil"/>
              <w:left w:val="nil"/>
              <w:bottom w:val="single" w:sz="4" w:space="0" w:color="auto"/>
              <w:right w:val="single" w:sz="4" w:space="0" w:color="auto"/>
            </w:tcBorders>
            <w:shd w:val="clear" w:color="auto" w:fill="auto"/>
            <w:noWrap/>
            <w:vAlign w:val="bottom"/>
            <w:hideMark/>
          </w:tcPr>
          <w:p w14:paraId="0C9C9EB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7,4%</w:t>
            </w:r>
          </w:p>
        </w:tc>
        <w:tc>
          <w:tcPr>
            <w:tcW w:w="514" w:type="pct"/>
            <w:tcBorders>
              <w:top w:val="nil"/>
              <w:left w:val="nil"/>
              <w:bottom w:val="single" w:sz="4" w:space="0" w:color="auto"/>
              <w:right w:val="single" w:sz="4" w:space="0" w:color="auto"/>
            </w:tcBorders>
            <w:shd w:val="clear" w:color="auto" w:fill="auto"/>
            <w:noWrap/>
            <w:vAlign w:val="bottom"/>
            <w:hideMark/>
          </w:tcPr>
          <w:p w14:paraId="6F81EC6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499" w:type="pct"/>
            <w:tcBorders>
              <w:top w:val="nil"/>
              <w:left w:val="nil"/>
              <w:bottom w:val="single" w:sz="4" w:space="0" w:color="auto"/>
              <w:right w:val="single" w:sz="4" w:space="0" w:color="auto"/>
            </w:tcBorders>
            <w:shd w:val="clear" w:color="auto" w:fill="auto"/>
            <w:noWrap/>
            <w:vAlign w:val="bottom"/>
            <w:hideMark/>
          </w:tcPr>
          <w:p w14:paraId="665648E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17370BD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auto" w:fill="auto"/>
            <w:noWrap/>
            <w:vAlign w:val="bottom"/>
            <w:hideMark/>
          </w:tcPr>
          <w:p w14:paraId="35CE667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3,7%</w:t>
            </w:r>
          </w:p>
        </w:tc>
      </w:tr>
      <w:tr w:rsidR="004F08A8" w:rsidRPr="00E944FA" w14:paraId="7258A548"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5867A22"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Galponeros (CABA)</w:t>
            </w:r>
          </w:p>
        </w:tc>
        <w:tc>
          <w:tcPr>
            <w:tcW w:w="527" w:type="pct"/>
            <w:tcBorders>
              <w:top w:val="nil"/>
              <w:left w:val="nil"/>
              <w:bottom w:val="single" w:sz="4" w:space="0" w:color="auto"/>
              <w:right w:val="single" w:sz="4" w:space="0" w:color="auto"/>
            </w:tcBorders>
            <w:shd w:val="clear" w:color="auto" w:fill="auto"/>
            <w:noWrap/>
            <w:vAlign w:val="bottom"/>
            <w:hideMark/>
          </w:tcPr>
          <w:p w14:paraId="630817A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91" w:type="pct"/>
            <w:tcBorders>
              <w:top w:val="nil"/>
              <w:left w:val="nil"/>
              <w:bottom w:val="single" w:sz="4" w:space="0" w:color="auto"/>
              <w:right w:val="single" w:sz="4" w:space="0" w:color="auto"/>
            </w:tcBorders>
            <w:shd w:val="clear" w:color="auto" w:fill="auto"/>
            <w:noWrap/>
            <w:vAlign w:val="bottom"/>
            <w:hideMark/>
          </w:tcPr>
          <w:p w14:paraId="48816A4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14" w:type="pct"/>
            <w:tcBorders>
              <w:top w:val="nil"/>
              <w:left w:val="nil"/>
              <w:bottom w:val="single" w:sz="4" w:space="0" w:color="auto"/>
              <w:right w:val="single" w:sz="4" w:space="0" w:color="auto"/>
            </w:tcBorders>
            <w:shd w:val="clear" w:color="auto" w:fill="auto"/>
            <w:noWrap/>
            <w:vAlign w:val="bottom"/>
            <w:hideMark/>
          </w:tcPr>
          <w:p w14:paraId="27D7914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28,6%</w:t>
            </w:r>
          </w:p>
        </w:tc>
        <w:tc>
          <w:tcPr>
            <w:tcW w:w="499" w:type="pct"/>
            <w:tcBorders>
              <w:top w:val="nil"/>
              <w:left w:val="nil"/>
              <w:bottom w:val="single" w:sz="4" w:space="0" w:color="auto"/>
              <w:right w:val="single" w:sz="4" w:space="0" w:color="auto"/>
            </w:tcBorders>
            <w:shd w:val="clear" w:color="auto" w:fill="auto"/>
            <w:noWrap/>
            <w:vAlign w:val="bottom"/>
            <w:hideMark/>
          </w:tcPr>
          <w:p w14:paraId="13EDC01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22EFF88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auto" w:fill="auto"/>
            <w:noWrap/>
            <w:vAlign w:val="bottom"/>
            <w:hideMark/>
          </w:tcPr>
          <w:p w14:paraId="6B1DD3F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r>
      <w:tr w:rsidR="004F08A8" w:rsidRPr="00E944FA" w14:paraId="51B5C3CB"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DC9A82D"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Guemes</w:t>
            </w:r>
            <w:proofErr w:type="spellEnd"/>
            <w:r w:rsidRPr="00E944FA">
              <w:rPr>
                <w:rFonts w:eastAsia="Times New Roman" w:cs="Times New Roman"/>
                <w:color w:val="000000"/>
                <w:sz w:val="20"/>
                <w:szCs w:val="20"/>
              </w:rPr>
              <w:t xml:space="preserve"> (Ezeiza)</w:t>
            </w:r>
          </w:p>
        </w:tc>
        <w:tc>
          <w:tcPr>
            <w:tcW w:w="527" w:type="pct"/>
            <w:tcBorders>
              <w:top w:val="nil"/>
              <w:left w:val="nil"/>
              <w:bottom w:val="single" w:sz="4" w:space="0" w:color="auto"/>
              <w:right w:val="single" w:sz="4" w:space="0" w:color="auto"/>
            </w:tcBorders>
            <w:shd w:val="clear" w:color="auto" w:fill="auto"/>
            <w:noWrap/>
            <w:vAlign w:val="bottom"/>
            <w:hideMark/>
          </w:tcPr>
          <w:p w14:paraId="4C45AB4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20,3%</w:t>
            </w:r>
          </w:p>
        </w:tc>
        <w:tc>
          <w:tcPr>
            <w:tcW w:w="591" w:type="pct"/>
            <w:tcBorders>
              <w:top w:val="nil"/>
              <w:left w:val="nil"/>
              <w:bottom w:val="single" w:sz="4" w:space="0" w:color="auto"/>
              <w:right w:val="single" w:sz="4" w:space="0" w:color="auto"/>
            </w:tcBorders>
            <w:shd w:val="clear" w:color="auto" w:fill="auto"/>
            <w:noWrap/>
            <w:vAlign w:val="bottom"/>
            <w:hideMark/>
          </w:tcPr>
          <w:p w14:paraId="27C88FF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13,0%</w:t>
            </w:r>
          </w:p>
        </w:tc>
        <w:tc>
          <w:tcPr>
            <w:tcW w:w="514" w:type="pct"/>
            <w:tcBorders>
              <w:top w:val="nil"/>
              <w:left w:val="nil"/>
              <w:bottom w:val="single" w:sz="4" w:space="0" w:color="auto"/>
              <w:right w:val="single" w:sz="4" w:space="0" w:color="auto"/>
            </w:tcBorders>
            <w:shd w:val="clear" w:color="auto" w:fill="auto"/>
            <w:noWrap/>
            <w:vAlign w:val="bottom"/>
            <w:hideMark/>
          </w:tcPr>
          <w:p w14:paraId="5447FA6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7,2%</w:t>
            </w:r>
          </w:p>
        </w:tc>
        <w:tc>
          <w:tcPr>
            <w:tcW w:w="499" w:type="pct"/>
            <w:tcBorders>
              <w:top w:val="nil"/>
              <w:left w:val="nil"/>
              <w:bottom w:val="single" w:sz="4" w:space="0" w:color="auto"/>
              <w:right w:val="single" w:sz="4" w:space="0" w:color="auto"/>
            </w:tcBorders>
            <w:shd w:val="clear" w:color="auto" w:fill="auto"/>
            <w:noWrap/>
            <w:vAlign w:val="bottom"/>
            <w:hideMark/>
          </w:tcPr>
          <w:p w14:paraId="685D3A8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4,3%</w:t>
            </w:r>
          </w:p>
        </w:tc>
        <w:tc>
          <w:tcPr>
            <w:tcW w:w="502" w:type="pct"/>
            <w:tcBorders>
              <w:top w:val="nil"/>
              <w:left w:val="nil"/>
              <w:bottom w:val="single" w:sz="4" w:space="0" w:color="auto"/>
              <w:right w:val="single" w:sz="4" w:space="0" w:color="auto"/>
            </w:tcBorders>
            <w:shd w:val="clear" w:color="auto" w:fill="auto"/>
            <w:noWrap/>
            <w:vAlign w:val="bottom"/>
            <w:hideMark/>
          </w:tcPr>
          <w:p w14:paraId="5B9BE87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2,9%</w:t>
            </w:r>
          </w:p>
        </w:tc>
        <w:tc>
          <w:tcPr>
            <w:tcW w:w="792" w:type="pct"/>
            <w:tcBorders>
              <w:top w:val="nil"/>
              <w:left w:val="nil"/>
              <w:bottom w:val="single" w:sz="4" w:space="0" w:color="auto"/>
              <w:right w:val="single" w:sz="4" w:space="0" w:color="auto"/>
            </w:tcBorders>
            <w:shd w:val="clear" w:color="auto" w:fill="auto"/>
            <w:noWrap/>
            <w:vAlign w:val="bottom"/>
            <w:hideMark/>
          </w:tcPr>
          <w:p w14:paraId="07332F9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w:t>
            </w:r>
          </w:p>
        </w:tc>
      </w:tr>
      <w:tr w:rsidR="004F08A8" w:rsidRPr="00E944FA" w14:paraId="07A92B68"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52519F6"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Isla Maciel (Avellaneda)</w:t>
            </w:r>
          </w:p>
        </w:tc>
        <w:tc>
          <w:tcPr>
            <w:tcW w:w="527" w:type="pct"/>
            <w:tcBorders>
              <w:top w:val="nil"/>
              <w:left w:val="nil"/>
              <w:bottom w:val="single" w:sz="4" w:space="0" w:color="auto"/>
              <w:right w:val="single" w:sz="4" w:space="0" w:color="auto"/>
            </w:tcBorders>
            <w:shd w:val="clear" w:color="auto" w:fill="auto"/>
            <w:noWrap/>
            <w:vAlign w:val="bottom"/>
            <w:hideMark/>
          </w:tcPr>
          <w:p w14:paraId="3B61DCB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9,0%</w:t>
            </w:r>
          </w:p>
        </w:tc>
        <w:tc>
          <w:tcPr>
            <w:tcW w:w="591" w:type="pct"/>
            <w:tcBorders>
              <w:top w:val="nil"/>
              <w:left w:val="nil"/>
              <w:bottom w:val="single" w:sz="4" w:space="0" w:color="auto"/>
              <w:right w:val="single" w:sz="4" w:space="0" w:color="auto"/>
            </w:tcBorders>
            <w:shd w:val="clear" w:color="auto" w:fill="auto"/>
            <w:noWrap/>
            <w:vAlign w:val="bottom"/>
            <w:hideMark/>
          </w:tcPr>
          <w:p w14:paraId="345C427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4,8%</w:t>
            </w:r>
          </w:p>
        </w:tc>
        <w:tc>
          <w:tcPr>
            <w:tcW w:w="514" w:type="pct"/>
            <w:tcBorders>
              <w:top w:val="nil"/>
              <w:left w:val="nil"/>
              <w:bottom w:val="single" w:sz="4" w:space="0" w:color="auto"/>
              <w:right w:val="single" w:sz="4" w:space="0" w:color="auto"/>
            </w:tcBorders>
            <w:shd w:val="clear" w:color="auto" w:fill="auto"/>
            <w:noWrap/>
            <w:vAlign w:val="bottom"/>
            <w:hideMark/>
          </w:tcPr>
          <w:p w14:paraId="526F036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13,1%</w:t>
            </w:r>
          </w:p>
        </w:tc>
        <w:tc>
          <w:tcPr>
            <w:tcW w:w="499" w:type="pct"/>
            <w:tcBorders>
              <w:top w:val="nil"/>
              <w:left w:val="nil"/>
              <w:bottom w:val="single" w:sz="4" w:space="0" w:color="auto"/>
              <w:right w:val="single" w:sz="4" w:space="0" w:color="auto"/>
            </w:tcBorders>
            <w:shd w:val="clear" w:color="auto" w:fill="auto"/>
            <w:noWrap/>
            <w:vAlign w:val="bottom"/>
            <w:hideMark/>
          </w:tcPr>
          <w:p w14:paraId="07E38D3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5,5%</w:t>
            </w:r>
          </w:p>
        </w:tc>
        <w:tc>
          <w:tcPr>
            <w:tcW w:w="502" w:type="pct"/>
            <w:tcBorders>
              <w:top w:val="nil"/>
              <w:left w:val="nil"/>
              <w:bottom w:val="single" w:sz="4" w:space="0" w:color="auto"/>
              <w:right w:val="single" w:sz="4" w:space="0" w:color="auto"/>
            </w:tcBorders>
            <w:shd w:val="clear" w:color="auto" w:fill="auto"/>
            <w:noWrap/>
            <w:vAlign w:val="bottom"/>
            <w:hideMark/>
          </w:tcPr>
          <w:p w14:paraId="3FAE6E2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12,4%</w:t>
            </w:r>
          </w:p>
        </w:tc>
        <w:tc>
          <w:tcPr>
            <w:tcW w:w="792" w:type="pct"/>
            <w:tcBorders>
              <w:top w:val="nil"/>
              <w:left w:val="nil"/>
              <w:bottom w:val="single" w:sz="4" w:space="0" w:color="auto"/>
              <w:right w:val="single" w:sz="4" w:space="0" w:color="auto"/>
            </w:tcBorders>
            <w:shd w:val="clear" w:color="auto" w:fill="auto"/>
            <w:noWrap/>
            <w:vAlign w:val="bottom"/>
            <w:hideMark/>
          </w:tcPr>
          <w:p w14:paraId="21C46D7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11,0%</w:t>
            </w:r>
          </w:p>
        </w:tc>
      </w:tr>
      <w:tr w:rsidR="004F08A8" w:rsidRPr="00E944FA" w14:paraId="7D530143"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FF2E3D5"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lastRenderedPageBreak/>
              <w:t>La Lonja (Lomas de Zamora)</w:t>
            </w:r>
          </w:p>
        </w:tc>
        <w:tc>
          <w:tcPr>
            <w:tcW w:w="527" w:type="pct"/>
            <w:tcBorders>
              <w:top w:val="nil"/>
              <w:left w:val="nil"/>
              <w:bottom w:val="single" w:sz="4" w:space="0" w:color="auto"/>
              <w:right w:val="single" w:sz="4" w:space="0" w:color="auto"/>
            </w:tcBorders>
            <w:shd w:val="clear" w:color="auto" w:fill="auto"/>
            <w:noWrap/>
            <w:vAlign w:val="bottom"/>
            <w:hideMark/>
          </w:tcPr>
          <w:p w14:paraId="241B654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29,7%</w:t>
            </w:r>
          </w:p>
        </w:tc>
        <w:tc>
          <w:tcPr>
            <w:tcW w:w="591" w:type="pct"/>
            <w:tcBorders>
              <w:top w:val="nil"/>
              <w:left w:val="nil"/>
              <w:bottom w:val="single" w:sz="4" w:space="0" w:color="auto"/>
              <w:right w:val="single" w:sz="4" w:space="0" w:color="auto"/>
            </w:tcBorders>
            <w:shd w:val="clear" w:color="auto" w:fill="auto"/>
            <w:noWrap/>
            <w:vAlign w:val="bottom"/>
            <w:hideMark/>
          </w:tcPr>
          <w:p w14:paraId="4A093B3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21,6%</w:t>
            </w:r>
          </w:p>
        </w:tc>
        <w:tc>
          <w:tcPr>
            <w:tcW w:w="514" w:type="pct"/>
            <w:tcBorders>
              <w:top w:val="nil"/>
              <w:left w:val="nil"/>
              <w:bottom w:val="single" w:sz="4" w:space="0" w:color="auto"/>
              <w:right w:val="single" w:sz="4" w:space="0" w:color="auto"/>
            </w:tcBorders>
            <w:shd w:val="clear" w:color="auto" w:fill="auto"/>
            <w:noWrap/>
            <w:vAlign w:val="bottom"/>
            <w:hideMark/>
          </w:tcPr>
          <w:p w14:paraId="5F31B8C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27,0%</w:t>
            </w:r>
          </w:p>
        </w:tc>
        <w:tc>
          <w:tcPr>
            <w:tcW w:w="499" w:type="pct"/>
            <w:tcBorders>
              <w:top w:val="nil"/>
              <w:left w:val="nil"/>
              <w:bottom w:val="single" w:sz="4" w:space="0" w:color="auto"/>
              <w:right w:val="single" w:sz="4" w:space="0" w:color="auto"/>
            </w:tcBorders>
            <w:shd w:val="clear" w:color="auto" w:fill="auto"/>
            <w:noWrap/>
            <w:vAlign w:val="bottom"/>
            <w:hideMark/>
          </w:tcPr>
          <w:p w14:paraId="118B41B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8,1%</w:t>
            </w:r>
          </w:p>
        </w:tc>
        <w:tc>
          <w:tcPr>
            <w:tcW w:w="502" w:type="pct"/>
            <w:tcBorders>
              <w:top w:val="nil"/>
              <w:left w:val="nil"/>
              <w:bottom w:val="single" w:sz="4" w:space="0" w:color="auto"/>
              <w:right w:val="single" w:sz="4" w:space="0" w:color="auto"/>
            </w:tcBorders>
            <w:shd w:val="clear" w:color="auto" w:fill="auto"/>
            <w:noWrap/>
            <w:vAlign w:val="bottom"/>
            <w:hideMark/>
          </w:tcPr>
          <w:p w14:paraId="266456D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13,5%</w:t>
            </w:r>
          </w:p>
        </w:tc>
        <w:tc>
          <w:tcPr>
            <w:tcW w:w="792" w:type="pct"/>
            <w:tcBorders>
              <w:top w:val="nil"/>
              <w:left w:val="nil"/>
              <w:bottom w:val="single" w:sz="4" w:space="0" w:color="auto"/>
              <w:right w:val="single" w:sz="4" w:space="0" w:color="auto"/>
            </w:tcBorders>
            <w:shd w:val="clear" w:color="auto" w:fill="auto"/>
            <w:noWrap/>
            <w:vAlign w:val="bottom"/>
            <w:hideMark/>
          </w:tcPr>
          <w:p w14:paraId="7263E4F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13,5%</w:t>
            </w:r>
          </w:p>
        </w:tc>
      </w:tr>
      <w:tr w:rsidR="004F08A8" w:rsidRPr="00E944FA" w14:paraId="39997444"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4645029"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Porteña II (Ezeiza)</w:t>
            </w:r>
          </w:p>
        </w:tc>
        <w:tc>
          <w:tcPr>
            <w:tcW w:w="527" w:type="pct"/>
            <w:tcBorders>
              <w:top w:val="nil"/>
              <w:left w:val="nil"/>
              <w:bottom w:val="single" w:sz="4" w:space="0" w:color="auto"/>
              <w:right w:val="single" w:sz="4" w:space="0" w:color="auto"/>
            </w:tcBorders>
            <w:shd w:val="clear" w:color="auto" w:fill="auto"/>
            <w:noWrap/>
            <w:vAlign w:val="bottom"/>
            <w:hideMark/>
          </w:tcPr>
          <w:p w14:paraId="4764399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9,7%</w:t>
            </w:r>
          </w:p>
        </w:tc>
        <w:tc>
          <w:tcPr>
            <w:tcW w:w="591" w:type="pct"/>
            <w:tcBorders>
              <w:top w:val="nil"/>
              <w:left w:val="nil"/>
              <w:bottom w:val="single" w:sz="4" w:space="0" w:color="auto"/>
              <w:right w:val="single" w:sz="4" w:space="0" w:color="auto"/>
            </w:tcBorders>
            <w:shd w:val="clear" w:color="auto" w:fill="auto"/>
            <w:noWrap/>
            <w:vAlign w:val="bottom"/>
            <w:hideMark/>
          </w:tcPr>
          <w:p w14:paraId="6B024A1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4,3%</w:t>
            </w:r>
          </w:p>
        </w:tc>
        <w:tc>
          <w:tcPr>
            <w:tcW w:w="514" w:type="pct"/>
            <w:tcBorders>
              <w:top w:val="nil"/>
              <w:left w:val="nil"/>
              <w:bottom w:val="single" w:sz="4" w:space="0" w:color="auto"/>
              <w:right w:val="single" w:sz="4" w:space="0" w:color="auto"/>
            </w:tcBorders>
            <w:shd w:val="clear" w:color="auto" w:fill="auto"/>
            <w:noWrap/>
            <w:vAlign w:val="bottom"/>
            <w:hideMark/>
          </w:tcPr>
          <w:p w14:paraId="51E063D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15,1%</w:t>
            </w:r>
          </w:p>
        </w:tc>
        <w:tc>
          <w:tcPr>
            <w:tcW w:w="499" w:type="pct"/>
            <w:tcBorders>
              <w:top w:val="nil"/>
              <w:left w:val="nil"/>
              <w:bottom w:val="single" w:sz="4" w:space="0" w:color="auto"/>
              <w:right w:val="single" w:sz="4" w:space="0" w:color="auto"/>
            </w:tcBorders>
            <w:shd w:val="clear" w:color="auto" w:fill="auto"/>
            <w:noWrap/>
            <w:vAlign w:val="bottom"/>
            <w:hideMark/>
          </w:tcPr>
          <w:p w14:paraId="2862034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6,5%</w:t>
            </w:r>
          </w:p>
        </w:tc>
        <w:tc>
          <w:tcPr>
            <w:tcW w:w="502" w:type="pct"/>
            <w:tcBorders>
              <w:top w:val="nil"/>
              <w:left w:val="nil"/>
              <w:bottom w:val="single" w:sz="4" w:space="0" w:color="auto"/>
              <w:right w:val="single" w:sz="4" w:space="0" w:color="auto"/>
            </w:tcBorders>
            <w:shd w:val="clear" w:color="auto" w:fill="auto"/>
            <w:noWrap/>
            <w:vAlign w:val="bottom"/>
            <w:hideMark/>
          </w:tcPr>
          <w:p w14:paraId="5325413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3,2%</w:t>
            </w:r>
          </w:p>
        </w:tc>
        <w:tc>
          <w:tcPr>
            <w:tcW w:w="792" w:type="pct"/>
            <w:tcBorders>
              <w:top w:val="nil"/>
              <w:left w:val="nil"/>
              <w:bottom w:val="single" w:sz="4" w:space="0" w:color="auto"/>
              <w:right w:val="single" w:sz="4" w:space="0" w:color="auto"/>
            </w:tcBorders>
            <w:shd w:val="clear" w:color="auto" w:fill="auto"/>
            <w:noWrap/>
            <w:vAlign w:val="bottom"/>
            <w:hideMark/>
          </w:tcPr>
          <w:p w14:paraId="5742D2A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12,9%</w:t>
            </w:r>
          </w:p>
        </w:tc>
      </w:tr>
      <w:tr w:rsidR="004F08A8" w:rsidRPr="00E944FA" w14:paraId="6B7B73BD"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F0E35BC"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Toma (Merlo)</w:t>
            </w:r>
          </w:p>
        </w:tc>
        <w:tc>
          <w:tcPr>
            <w:tcW w:w="527" w:type="pct"/>
            <w:tcBorders>
              <w:top w:val="nil"/>
              <w:left w:val="nil"/>
              <w:bottom w:val="single" w:sz="4" w:space="0" w:color="auto"/>
              <w:right w:val="single" w:sz="4" w:space="0" w:color="auto"/>
            </w:tcBorders>
            <w:shd w:val="clear" w:color="auto" w:fill="auto"/>
            <w:noWrap/>
            <w:vAlign w:val="bottom"/>
            <w:hideMark/>
          </w:tcPr>
          <w:p w14:paraId="6F304FC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25,6%</w:t>
            </w:r>
          </w:p>
        </w:tc>
        <w:tc>
          <w:tcPr>
            <w:tcW w:w="591" w:type="pct"/>
            <w:tcBorders>
              <w:top w:val="nil"/>
              <w:left w:val="nil"/>
              <w:bottom w:val="single" w:sz="4" w:space="0" w:color="auto"/>
              <w:right w:val="single" w:sz="4" w:space="0" w:color="auto"/>
            </w:tcBorders>
            <w:shd w:val="clear" w:color="auto" w:fill="auto"/>
            <w:noWrap/>
            <w:vAlign w:val="bottom"/>
            <w:hideMark/>
          </w:tcPr>
          <w:p w14:paraId="2B706C8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11,6%</w:t>
            </w:r>
          </w:p>
        </w:tc>
        <w:tc>
          <w:tcPr>
            <w:tcW w:w="514" w:type="pct"/>
            <w:tcBorders>
              <w:top w:val="nil"/>
              <w:left w:val="nil"/>
              <w:bottom w:val="single" w:sz="4" w:space="0" w:color="auto"/>
              <w:right w:val="single" w:sz="4" w:space="0" w:color="auto"/>
            </w:tcBorders>
            <w:shd w:val="clear" w:color="auto" w:fill="auto"/>
            <w:noWrap/>
            <w:vAlign w:val="bottom"/>
            <w:hideMark/>
          </w:tcPr>
          <w:p w14:paraId="12FFCFD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20,7%</w:t>
            </w:r>
          </w:p>
        </w:tc>
        <w:tc>
          <w:tcPr>
            <w:tcW w:w="499" w:type="pct"/>
            <w:tcBorders>
              <w:top w:val="nil"/>
              <w:left w:val="nil"/>
              <w:bottom w:val="single" w:sz="4" w:space="0" w:color="auto"/>
              <w:right w:val="single" w:sz="4" w:space="0" w:color="auto"/>
            </w:tcBorders>
            <w:shd w:val="clear" w:color="auto" w:fill="auto"/>
            <w:noWrap/>
            <w:vAlign w:val="bottom"/>
            <w:hideMark/>
          </w:tcPr>
          <w:p w14:paraId="7AD5DE7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2,5%</w:t>
            </w:r>
          </w:p>
        </w:tc>
        <w:tc>
          <w:tcPr>
            <w:tcW w:w="502" w:type="pct"/>
            <w:tcBorders>
              <w:top w:val="nil"/>
              <w:left w:val="nil"/>
              <w:bottom w:val="single" w:sz="4" w:space="0" w:color="auto"/>
              <w:right w:val="single" w:sz="4" w:space="0" w:color="auto"/>
            </w:tcBorders>
            <w:shd w:val="clear" w:color="auto" w:fill="auto"/>
            <w:noWrap/>
            <w:vAlign w:val="bottom"/>
            <w:hideMark/>
          </w:tcPr>
          <w:p w14:paraId="79C4A09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8,3%</w:t>
            </w:r>
          </w:p>
        </w:tc>
        <w:tc>
          <w:tcPr>
            <w:tcW w:w="792" w:type="pct"/>
            <w:tcBorders>
              <w:top w:val="nil"/>
              <w:left w:val="nil"/>
              <w:bottom w:val="single" w:sz="4" w:space="0" w:color="auto"/>
              <w:right w:val="single" w:sz="4" w:space="0" w:color="auto"/>
            </w:tcBorders>
            <w:shd w:val="clear" w:color="auto" w:fill="auto"/>
            <w:noWrap/>
            <w:vAlign w:val="bottom"/>
            <w:hideMark/>
          </w:tcPr>
          <w:p w14:paraId="0751E2E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19,8%</w:t>
            </w:r>
          </w:p>
        </w:tc>
      </w:tr>
      <w:tr w:rsidR="004F08A8" w:rsidRPr="00E944FA" w14:paraId="43BEDC0D"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A140B19"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 Unión II (Cañuelas)</w:t>
            </w:r>
          </w:p>
        </w:tc>
        <w:tc>
          <w:tcPr>
            <w:tcW w:w="527" w:type="pct"/>
            <w:tcBorders>
              <w:top w:val="nil"/>
              <w:left w:val="nil"/>
              <w:bottom w:val="single" w:sz="4" w:space="0" w:color="auto"/>
              <w:right w:val="single" w:sz="4" w:space="0" w:color="auto"/>
            </w:tcBorders>
            <w:shd w:val="clear" w:color="auto" w:fill="auto"/>
            <w:noWrap/>
            <w:vAlign w:val="bottom"/>
            <w:hideMark/>
          </w:tcPr>
          <w:p w14:paraId="6DFABE9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7,7%</w:t>
            </w:r>
          </w:p>
        </w:tc>
        <w:tc>
          <w:tcPr>
            <w:tcW w:w="591" w:type="pct"/>
            <w:tcBorders>
              <w:top w:val="nil"/>
              <w:left w:val="nil"/>
              <w:bottom w:val="single" w:sz="4" w:space="0" w:color="auto"/>
              <w:right w:val="single" w:sz="4" w:space="0" w:color="auto"/>
            </w:tcBorders>
            <w:shd w:val="clear" w:color="auto" w:fill="auto"/>
            <w:noWrap/>
            <w:vAlign w:val="bottom"/>
            <w:hideMark/>
          </w:tcPr>
          <w:p w14:paraId="476E47C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514" w:type="pct"/>
            <w:tcBorders>
              <w:top w:val="nil"/>
              <w:left w:val="nil"/>
              <w:bottom w:val="single" w:sz="4" w:space="0" w:color="auto"/>
              <w:right w:val="single" w:sz="4" w:space="0" w:color="auto"/>
            </w:tcBorders>
            <w:shd w:val="clear" w:color="auto" w:fill="auto"/>
            <w:noWrap/>
            <w:vAlign w:val="bottom"/>
            <w:hideMark/>
          </w:tcPr>
          <w:p w14:paraId="6CC360B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7,7%</w:t>
            </w:r>
          </w:p>
        </w:tc>
        <w:tc>
          <w:tcPr>
            <w:tcW w:w="499" w:type="pct"/>
            <w:tcBorders>
              <w:top w:val="nil"/>
              <w:left w:val="nil"/>
              <w:bottom w:val="single" w:sz="4" w:space="0" w:color="auto"/>
              <w:right w:val="single" w:sz="4" w:space="0" w:color="auto"/>
            </w:tcBorders>
            <w:shd w:val="clear" w:color="auto" w:fill="auto"/>
            <w:noWrap/>
            <w:vAlign w:val="bottom"/>
            <w:hideMark/>
          </w:tcPr>
          <w:p w14:paraId="1E61859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1E4F1F0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792" w:type="pct"/>
            <w:tcBorders>
              <w:top w:val="nil"/>
              <w:left w:val="nil"/>
              <w:bottom w:val="single" w:sz="4" w:space="0" w:color="auto"/>
              <w:right w:val="single" w:sz="4" w:space="0" w:color="auto"/>
            </w:tcBorders>
            <w:shd w:val="clear" w:color="auto" w:fill="auto"/>
            <w:noWrap/>
            <w:vAlign w:val="bottom"/>
            <w:hideMark/>
          </w:tcPr>
          <w:p w14:paraId="5C65AD8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r>
      <w:tr w:rsidR="004F08A8" w:rsidRPr="00E944FA" w14:paraId="7E9C25C4"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0C0CA78E"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Laguna Brava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5C84BB5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91" w:type="pct"/>
            <w:tcBorders>
              <w:top w:val="nil"/>
              <w:left w:val="nil"/>
              <w:bottom w:val="single" w:sz="4" w:space="0" w:color="auto"/>
              <w:right w:val="single" w:sz="4" w:space="0" w:color="auto"/>
            </w:tcBorders>
            <w:shd w:val="clear" w:color="auto" w:fill="auto"/>
            <w:noWrap/>
            <w:vAlign w:val="bottom"/>
            <w:hideMark/>
          </w:tcPr>
          <w:p w14:paraId="6B13E0C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14" w:type="pct"/>
            <w:tcBorders>
              <w:top w:val="nil"/>
              <w:left w:val="nil"/>
              <w:bottom w:val="single" w:sz="4" w:space="0" w:color="auto"/>
              <w:right w:val="single" w:sz="4" w:space="0" w:color="auto"/>
            </w:tcBorders>
            <w:shd w:val="clear" w:color="auto" w:fill="auto"/>
            <w:noWrap/>
            <w:vAlign w:val="bottom"/>
            <w:hideMark/>
          </w:tcPr>
          <w:p w14:paraId="74A2386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37,5%</w:t>
            </w:r>
          </w:p>
        </w:tc>
        <w:tc>
          <w:tcPr>
            <w:tcW w:w="499" w:type="pct"/>
            <w:tcBorders>
              <w:top w:val="nil"/>
              <w:left w:val="nil"/>
              <w:bottom w:val="single" w:sz="4" w:space="0" w:color="auto"/>
              <w:right w:val="single" w:sz="4" w:space="0" w:color="auto"/>
            </w:tcBorders>
            <w:shd w:val="clear" w:color="auto" w:fill="auto"/>
            <w:noWrap/>
            <w:vAlign w:val="bottom"/>
            <w:hideMark/>
          </w:tcPr>
          <w:p w14:paraId="0E59F39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12,5%</w:t>
            </w:r>
          </w:p>
        </w:tc>
        <w:tc>
          <w:tcPr>
            <w:tcW w:w="502" w:type="pct"/>
            <w:tcBorders>
              <w:top w:val="nil"/>
              <w:left w:val="nil"/>
              <w:bottom w:val="single" w:sz="4" w:space="0" w:color="auto"/>
              <w:right w:val="single" w:sz="4" w:space="0" w:color="auto"/>
            </w:tcBorders>
            <w:shd w:val="clear" w:color="auto" w:fill="auto"/>
            <w:noWrap/>
            <w:vAlign w:val="bottom"/>
            <w:hideMark/>
          </w:tcPr>
          <w:p w14:paraId="2BE21E8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auto" w:fill="auto"/>
            <w:noWrap/>
            <w:vAlign w:val="bottom"/>
            <w:hideMark/>
          </w:tcPr>
          <w:p w14:paraId="1CB8F50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25,0%</w:t>
            </w:r>
          </w:p>
        </w:tc>
      </w:tr>
      <w:tr w:rsidR="004F08A8" w:rsidRPr="00E944FA" w14:paraId="4D7EF3C7"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761BA74"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Las Flores (Merlo)</w:t>
            </w:r>
          </w:p>
        </w:tc>
        <w:tc>
          <w:tcPr>
            <w:tcW w:w="527" w:type="pct"/>
            <w:tcBorders>
              <w:top w:val="nil"/>
              <w:left w:val="nil"/>
              <w:bottom w:val="single" w:sz="4" w:space="0" w:color="auto"/>
              <w:right w:val="single" w:sz="4" w:space="0" w:color="auto"/>
            </w:tcBorders>
            <w:shd w:val="clear" w:color="auto" w:fill="auto"/>
            <w:noWrap/>
            <w:vAlign w:val="bottom"/>
            <w:hideMark/>
          </w:tcPr>
          <w:p w14:paraId="0B3ABD8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14,4%</w:t>
            </w:r>
          </w:p>
        </w:tc>
        <w:tc>
          <w:tcPr>
            <w:tcW w:w="591" w:type="pct"/>
            <w:tcBorders>
              <w:top w:val="nil"/>
              <w:left w:val="nil"/>
              <w:bottom w:val="single" w:sz="4" w:space="0" w:color="auto"/>
              <w:right w:val="single" w:sz="4" w:space="0" w:color="auto"/>
            </w:tcBorders>
            <w:shd w:val="clear" w:color="auto" w:fill="auto"/>
            <w:noWrap/>
            <w:vAlign w:val="bottom"/>
            <w:hideMark/>
          </w:tcPr>
          <w:p w14:paraId="6784844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5,9%</w:t>
            </w:r>
          </w:p>
        </w:tc>
        <w:tc>
          <w:tcPr>
            <w:tcW w:w="514" w:type="pct"/>
            <w:tcBorders>
              <w:top w:val="nil"/>
              <w:left w:val="nil"/>
              <w:bottom w:val="single" w:sz="4" w:space="0" w:color="auto"/>
              <w:right w:val="single" w:sz="4" w:space="0" w:color="auto"/>
            </w:tcBorders>
            <w:shd w:val="clear" w:color="auto" w:fill="auto"/>
            <w:noWrap/>
            <w:vAlign w:val="bottom"/>
            <w:hideMark/>
          </w:tcPr>
          <w:p w14:paraId="61D4960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9,6%</w:t>
            </w:r>
          </w:p>
        </w:tc>
        <w:tc>
          <w:tcPr>
            <w:tcW w:w="499" w:type="pct"/>
            <w:tcBorders>
              <w:top w:val="nil"/>
              <w:left w:val="nil"/>
              <w:bottom w:val="single" w:sz="4" w:space="0" w:color="auto"/>
              <w:right w:val="single" w:sz="4" w:space="0" w:color="auto"/>
            </w:tcBorders>
            <w:shd w:val="clear" w:color="auto" w:fill="auto"/>
            <w:noWrap/>
            <w:vAlign w:val="bottom"/>
            <w:hideMark/>
          </w:tcPr>
          <w:p w14:paraId="338B6CE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0,5%</w:t>
            </w:r>
          </w:p>
        </w:tc>
        <w:tc>
          <w:tcPr>
            <w:tcW w:w="502" w:type="pct"/>
            <w:tcBorders>
              <w:top w:val="nil"/>
              <w:left w:val="nil"/>
              <w:bottom w:val="single" w:sz="4" w:space="0" w:color="auto"/>
              <w:right w:val="single" w:sz="4" w:space="0" w:color="auto"/>
            </w:tcBorders>
            <w:shd w:val="clear" w:color="auto" w:fill="auto"/>
            <w:noWrap/>
            <w:vAlign w:val="bottom"/>
            <w:hideMark/>
          </w:tcPr>
          <w:p w14:paraId="06DD607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10,1%</w:t>
            </w:r>
          </w:p>
        </w:tc>
        <w:tc>
          <w:tcPr>
            <w:tcW w:w="792" w:type="pct"/>
            <w:tcBorders>
              <w:top w:val="nil"/>
              <w:left w:val="nil"/>
              <w:bottom w:val="single" w:sz="4" w:space="0" w:color="auto"/>
              <w:right w:val="single" w:sz="4" w:space="0" w:color="auto"/>
            </w:tcBorders>
            <w:shd w:val="clear" w:color="auto" w:fill="auto"/>
            <w:noWrap/>
            <w:vAlign w:val="bottom"/>
            <w:hideMark/>
          </w:tcPr>
          <w:p w14:paraId="75C97AF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16,5%</w:t>
            </w:r>
          </w:p>
        </w:tc>
      </w:tr>
      <w:tr w:rsidR="004F08A8" w:rsidRPr="00E944FA" w14:paraId="0C683981"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A5AECFE"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Las Torres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2D427BA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9,5%</w:t>
            </w:r>
          </w:p>
        </w:tc>
        <w:tc>
          <w:tcPr>
            <w:tcW w:w="591" w:type="pct"/>
            <w:tcBorders>
              <w:top w:val="nil"/>
              <w:left w:val="nil"/>
              <w:bottom w:val="single" w:sz="4" w:space="0" w:color="auto"/>
              <w:right w:val="single" w:sz="4" w:space="0" w:color="auto"/>
            </w:tcBorders>
            <w:shd w:val="clear" w:color="auto" w:fill="auto"/>
            <w:noWrap/>
            <w:vAlign w:val="bottom"/>
            <w:hideMark/>
          </w:tcPr>
          <w:p w14:paraId="6A8DA18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2,4%</w:t>
            </w:r>
          </w:p>
        </w:tc>
        <w:tc>
          <w:tcPr>
            <w:tcW w:w="514" w:type="pct"/>
            <w:tcBorders>
              <w:top w:val="nil"/>
              <w:left w:val="nil"/>
              <w:bottom w:val="single" w:sz="4" w:space="0" w:color="auto"/>
              <w:right w:val="single" w:sz="4" w:space="0" w:color="auto"/>
            </w:tcBorders>
            <w:shd w:val="clear" w:color="auto" w:fill="auto"/>
            <w:noWrap/>
            <w:vAlign w:val="bottom"/>
            <w:hideMark/>
          </w:tcPr>
          <w:p w14:paraId="567ADAA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22,6%</w:t>
            </w:r>
          </w:p>
        </w:tc>
        <w:tc>
          <w:tcPr>
            <w:tcW w:w="499" w:type="pct"/>
            <w:tcBorders>
              <w:top w:val="nil"/>
              <w:left w:val="nil"/>
              <w:bottom w:val="single" w:sz="4" w:space="0" w:color="auto"/>
              <w:right w:val="single" w:sz="4" w:space="0" w:color="auto"/>
            </w:tcBorders>
            <w:shd w:val="clear" w:color="auto" w:fill="auto"/>
            <w:noWrap/>
            <w:vAlign w:val="bottom"/>
            <w:hideMark/>
          </w:tcPr>
          <w:p w14:paraId="42227F3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13,1%</w:t>
            </w:r>
          </w:p>
        </w:tc>
        <w:tc>
          <w:tcPr>
            <w:tcW w:w="502" w:type="pct"/>
            <w:tcBorders>
              <w:top w:val="nil"/>
              <w:left w:val="nil"/>
              <w:bottom w:val="single" w:sz="4" w:space="0" w:color="auto"/>
              <w:right w:val="single" w:sz="4" w:space="0" w:color="auto"/>
            </w:tcBorders>
            <w:shd w:val="clear" w:color="auto" w:fill="auto"/>
            <w:noWrap/>
            <w:vAlign w:val="bottom"/>
            <w:hideMark/>
          </w:tcPr>
          <w:p w14:paraId="4076952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4,8%</w:t>
            </w:r>
          </w:p>
        </w:tc>
        <w:tc>
          <w:tcPr>
            <w:tcW w:w="792" w:type="pct"/>
            <w:tcBorders>
              <w:top w:val="nil"/>
              <w:left w:val="nil"/>
              <w:bottom w:val="single" w:sz="4" w:space="0" w:color="auto"/>
              <w:right w:val="single" w:sz="4" w:space="0" w:color="auto"/>
            </w:tcBorders>
            <w:shd w:val="clear" w:color="auto" w:fill="auto"/>
            <w:noWrap/>
            <w:vAlign w:val="bottom"/>
            <w:hideMark/>
          </w:tcPr>
          <w:p w14:paraId="2044D9E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13,1%</w:t>
            </w:r>
          </w:p>
        </w:tc>
      </w:tr>
      <w:tr w:rsidR="004F08A8" w:rsidRPr="00E944FA" w14:paraId="7B36DFC1"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572C163"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Libertad (Cañuelas)</w:t>
            </w:r>
          </w:p>
        </w:tc>
        <w:tc>
          <w:tcPr>
            <w:tcW w:w="527" w:type="pct"/>
            <w:tcBorders>
              <w:top w:val="nil"/>
              <w:left w:val="nil"/>
              <w:bottom w:val="single" w:sz="4" w:space="0" w:color="auto"/>
              <w:right w:val="single" w:sz="4" w:space="0" w:color="auto"/>
            </w:tcBorders>
            <w:shd w:val="clear" w:color="auto" w:fill="auto"/>
            <w:noWrap/>
            <w:vAlign w:val="bottom"/>
            <w:hideMark/>
          </w:tcPr>
          <w:p w14:paraId="6E71BD4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16,4%</w:t>
            </w:r>
          </w:p>
        </w:tc>
        <w:tc>
          <w:tcPr>
            <w:tcW w:w="591" w:type="pct"/>
            <w:tcBorders>
              <w:top w:val="nil"/>
              <w:left w:val="nil"/>
              <w:bottom w:val="single" w:sz="4" w:space="0" w:color="auto"/>
              <w:right w:val="single" w:sz="4" w:space="0" w:color="auto"/>
            </w:tcBorders>
            <w:shd w:val="clear" w:color="auto" w:fill="auto"/>
            <w:noWrap/>
            <w:vAlign w:val="bottom"/>
            <w:hideMark/>
          </w:tcPr>
          <w:p w14:paraId="1C77C74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6,8%</w:t>
            </w:r>
          </w:p>
        </w:tc>
        <w:tc>
          <w:tcPr>
            <w:tcW w:w="514" w:type="pct"/>
            <w:tcBorders>
              <w:top w:val="nil"/>
              <w:left w:val="nil"/>
              <w:bottom w:val="single" w:sz="4" w:space="0" w:color="auto"/>
              <w:right w:val="single" w:sz="4" w:space="0" w:color="auto"/>
            </w:tcBorders>
            <w:shd w:val="clear" w:color="auto" w:fill="auto"/>
            <w:noWrap/>
            <w:vAlign w:val="bottom"/>
            <w:hideMark/>
          </w:tcPr>
          <w:p w14:paraId="3A24D15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8,2%</w:t>
            </w:r>
          </w:p>
        </w:tc>
        <w:tc>
          <w:tcPr>
            <w:tcW w:w="499" w:type="pct"/>
            <w:tcBorders>
              <w:top w:val="nil"/>
              <w:left w:val="nil"/>
              <w:bottom w:val="single" w:sz="4" w:space="0" w:color="auto"/>
              <w:right w:val="single" w:sz="4" w:space="0" w:color="auto"/>
            </w:tcBorders>
            <w:shd w:val="clear" w:color="auto" w:fill="auto"/>
            <w:noWrap/>
            <w:vAlign w:val="bottom"/>
            <w:hideMark/>
          </w:tcPr>
          <w:p w14:paraId="317F318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w:t>
            </w:r>
          </w:p>
        </w:tc>
        <w:tc>
          <w:tcPr>
            <w:tcW w:w="502" w:type="pct"/>
            <w:tcBorders>
              <w:top w:val="nil"/>
              <w:left w:val="nil"/>
              <w:bottom w:val="single" w:sz="4" w:space="0" w:color="auto"/>
              <w:right w:val="single" w:sz="4" w:space="0" w:color="auto"/>
            </w:tcBorders>
            <w:shd w:val="clear" w:color="auto" w:fill="auto"/>
            <w:noWrap/>
            <w:vAlign w:val="bottom"/>
            <w:hideMark/>
          </w:tcPr>
          <w:p w14:paraId="779BA96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4,1%</w:t>
            </w:r>
          </w:p>
        </w:tc>
        <w:tc>
          <w:tcPr>
            <w:tcW w:w="792" w:type="pct"/>
            <w:tcBorders>
              <w:top w:val="nil"/>
              <w:left w:val="nil"/>
              <w:bottom w:val="single" w:sz="4" w:space="0" w:color="auto"/>
              <w:right w:val="single" w:sz="4" w:space="0" w:color="auto"/>
            </w:tcBorders>
            <w:shd w:val="clear" w:color="auto" w:fill="auto"/>
            <w:noWrap/>
            <w:vAlign w:val="bottom"/>
            <w:hideMark/>
          </w:tcPr>
          <w:p w14:paraId="29BE0E4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5,5%</w:t>
            </w:r>
          </w:p>
        </w:tc>
      </w:tr>
      <w:tr w:rsidR="004F08A8" w:rsidRPr="00E944FA" w14:paraId="02FC167F"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0332FC22"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Los </w:t>
            </w:r>
            <w:proofErr w:type="spellStart"/>
            <w:r w:rsidRPr="00E944FA">
              <w:rPr>
                <w:rFonts w:eastAsia="Times New Roman" w:cs="Times New Roman"/>
                <w:color w:val="000000"/>
                <w:sz w:val="20"/>
                <w:szCs w:val="20"/>
              </w:rPr>
              <w:t>Piletones</w:t>
            </w:r>
            <w:proofErr w:type="spellEnd"/>
            <w:r w:rsidRPr="00E944FA">
              <w:rPr>
                <w:rFonts w:eastAsia="Times New Roman" w:cs="Times New Roman"/>
                <w:color w:val="000000"/>
                <w:sz w:val="20"/>
                <w:szCs w:val="20"/>
              </w:rPr>
              <w:t xml:space="preserve">  (CABA)</w:t>
            </w:r>
          </w:p>
        </w:tc>
        <w:tc>
          <w:tcPr>
            <w:tcW w:w="527" w:type="pct"/>
            <w:tcBorders>
              <w:top w:val="nil"/>
              <w:left w:val="nil"/>
              <w:bottom w:val="single" w:sz="4" w:space="0" w:color="auto"/>
              <w:right w:val="single" w:sz="4" w:space="0" w:color="auto"/>
            </w:tcBorders>
            <w:shd w:val="clear" w:color="auto" w:fill="auto"/>
            <w:noWrap/>
            <w:vAlign w:val="bottom"/>
            <w:hideMark/>
          </w:tcPr>
          <w:p w14:paraId="55FF522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6,3%</w:t>
            </w:r>
          </w:p>
        </w:tc>
        <w:tc>
          <w:tcPr>
            <w:tcW w:w="591" w:type="pct"/>
            <w:tcBorders>
              <w:top w:val="nil"/>
              <w:left w:val="nil"/>
              <w:bottom w:val="single" w:sz="4" w:space="0" w:color="auto"/>
              <w:right w:val="single" w:sz="4" w:space="0" w:color="auto"/>
            </w:tcBorders>
            <w:shd w:val="clear" w:color="auto" w:fill="auto"/>
            <w:noWrap/>
            <w:vAlign w:val="bottom"/>
            <w:hideMark/>
          </w:tcPr>
          <w:p w14:paraId="3EFEBB8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2,1%</w:t>
            </w:r>
          </w:p>
        </w:tc>
        <w:tc>
          <w:tcPr>
            <w:tcW w:w="514" w:type="pct"/>
            <w:tcBorders>
              <w:top w:val="nil"/>
              <w:left w:val="nil"/>
              <w:bottom w:val="single" w:sz="4" w:space="0" w:color="auto"/>
              <w:right w:val="single" w:sz="4" w:space="0" w:color="auto"/>
            </w:tcBorders>
            <w:shd w:val="clear" w:color="auto" w:fill="auto"/>
            <w:noWrap/>
            <w:vAlign w:val="bottom"/>
            <w:hideMark/>
          </w:tcPr>
          <w:p w14:paraId="4D6CADA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499" w:type="pct"/>
            <w:tcBorders>
              <w:top w:val="nil"/>
              <w:left w:val="nil"/>
              <w:bottom w:val="single" w:sz="4" w:space="0" w:color="auto"/>
              <w:right w:val="single" w:sz="4" w:space="0" w:color="auto"/>
            </w:tcBorders>
            <w:shd w:val="clear" w:color="auto" w:fill="auto"/>
            <w:noWrap/>
            <w:vAlign w:val="bottom"/>
            <w:hideMark/>
          </w:tcPr>
          <w:p w14:paraId="5D4E3BA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w:t>
            </w:r>
          </w:p>
        </w:tc>
        <w:tc>
          <w:tcPr>
            <w:tcW w:w="502" w:type="pct"/>
            <w:tcBorders>
              <w:top w:val="nil"/>
              <w:left w:val="nil"/>
              <w:bottom w:val="single" w:sz="4" w:space="0" w:color="auto"/>
              <w:right w:val="single" w:sz="4" w:space="0" w:color="auto"/>
            </w:tcBorders>
            <w:shd w:val="clear" w:color="auto" w:fill="auto"/>
            <w:noWrap/>
            <w:vAlign w:val="bottom"/>
            <w:hideMark/>
          </w:tcPr>
          <w:p w14:paraId="1D525B2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792" w:type="pct"/>
            <w:tcBorders>
              <w:top w:val="nil"/>
              <w:left w:val="nil"/>
              <w:bottom w:val="single" w:sz="4" w:space="0" w:color="auto"/>
              <w:right w:val="single" w:sz="4" w:space="0" w:color="auto"/>
            </w:tcBorders>
            <w:shd w:val="clear" w:color="auto" w:fill="auto"/>
            <w:noWrap/>
            <w:vAlign w:val="bottom"/>
            <w:hideMark/>
          </w:tcPr>
          <w:p w14:paraId="7B8045A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7,3%</w:t>
            </w:r>
          </w:p>
        </w:tc>
      </w:tr>
      <w:tr w:rsidR="004F08A8" w:rsidRPr="00E944FA" w14:paraId="1851109D"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BF7B3EC"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 xml:space="preserve">Los </w:t>
            </w:r>
            <w:proofErr w:type="spellStart"/>
            <w:r w:rsidRPr="00E944FA">
              <w:rPr>
                <w:rFonts w:eastAsia="Times New Roman" w:cs="Times New Roman"/>
                <w:color w:val="000000"/>
                <w:sz w:val="20"/>
                <w:szCs w:val="20"/>
              </w:rPr>
              <w:t>Piletones</w:t>
            </w:r>
            <w:proofErr w:type="spellEnd"/>
            <w:r w:rsidRPr="00E944FA">
              <w:rPr>
                <w:rFonts w:eastAsia="Times New Roman" w:cs="Times New Roman"/>
                <w:color w:val="000000"/>
                <w:sz w:val="20"/>
                <w:szCs w:val="20"/>
              </w:rPr>
              <w:t xml:space="preserve"> II (CABA)</w:t>
            </w:r>
          </w:p>
        </w:tc>
        <w:tc>
          <w:tcPr>
            <w:tcW w:w="527" w:type="pct"/>
            <w:tcBorders>
              <w:top w:val="nil"/>
              <w:left w:val="nil"/>
              <w:bottom w:val="single" w:sz="4" w:space="0" w:color="auto"/>
              <w:right w:val="single" w:sz="4" w:space="0" w:color="auto"/>
            </w:tcBorders>
            <w:shd w:val="clear" w:color="auto" w:fill="auto"/>
            <w:noWrap/>
            <w:vAlign w:val="bottom"/>
            <w:hideMark/>
          </w:tcPr>
          <w:p w14:paraId="08BE178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c>
          <w:tcPr>
            <w:tcW w:w="591" w:type="pct"/>
            <w:tcBorders>
              <w:top w:val="nil"/>
              <w:left w:val="nil"/>
              <w:bottom w:val="single" w:sz="4" w:space="0" w:color="auto"/>
              <w:right w:val="single" w:sz="4" w:space="0" w:color="auto"/>
            </w:tcBorders>
            <w:shd w:val="clear" w:color="auto" w:fill="auto"/>
            <w:noWrap/>
            <w:vAlign w:val="bottom"/>
            <w:hideMark/>
          </w:tcPr>
          <w:p w14:paraId="7F99D97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4,1%</w:t>
            </w:r>
          </w:p>
        </w:tc>
        <w:tc>
          <w:tcPr>
            <w:tcW w:w="514" w:type="pct"/>
            <w:tcBorders>
              <w:top w:val="nil"/>
              <w:left w:val="nil"/>
              <w:bottom w:val="single" w:sz="4" w:space="0" w:color="auto"/>
              <w:right w:val="single" w:sz="4" w:space="0" w:color="auto"/>
            </w:tcBorders>
            <w:shd w:val="clear" w:color="auto" w:fill="auto"/>
            <w:noWrap/>
            <w:vAlign w:val="bottom"/>
            <w:hideMark/>
          </w:tcPr>
          <w:p w14:paraId="4C382C8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20,4%</w:t>
            </w:r>
          </w:p>
        </w:tc>
        <w:tc>
          <w:tcPr>
            <w:tcW w:w="499" w:type="pct"/>
            <w:tcBorders>
              <w:top w:val="nil"/>
              <w:left w:val="nil"/>
              <w:bottom w:val="single" w:sz="4" w:space="0" w:color="auto"/>
              <w:right w:val="single" w:sz="4" w:space="0" w:color="auto"/>
            </w:tcBorders>
            <w:shd w:val="clear" w:color="auto" w:fill="auto"/>
            <w:noWrap/>
            <w:vAlign w:val="bottom"/>
            <w:hideMark/>
          </w:tcPr>
          <w:p w14:paraId="22120F5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4,1%</w:t>
            </w:r>
          </w:p>
        </w:tc>
        <w:tc>
          <w:tcPr>
            <w:tcW w:w="502" w:type="pct"/>
            <w:tcBorders>
              <w:top w:val="nil"/>
              <w:left w:val="nil"/>
              <w:bottom w:val="single" w:sz="4" w:space="0" w:color="auto"/>
              <w:right w:val="single" w:sz="4" w:space="0" w:color="auto"/>
            </w:tcBorders>
            <w:shd w:val="clear" w:color="auto" w:fill="auto"/>
            <w:noWrap/>
            <w:vAlign w:val="bottom"/>
            <w:hideMark/>
          </w:tcPr>
          <w:p w14:paraId="29E3489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4,1%</w:t>
            </w:r>
          </w:p>
        </w:tc>
        <w:tc>
          <w:tcPr>
            <w:tcW w:w="792" w:type="pct"/>
            <w:tcBorders>
              <w:top w:val="nil"/>
              <w:left w:val="nil"/>
              <w:bottom w:val="single" w:sz="4" w:space="0" w:color="auto"/>
              <w:right w:val="single" w:sz="4" w:space="0" w:color="auto"/>
            </w:tcBorders>
            <w:shd w:val="clear" w:color="auto" w:fill="auto"/>
            <w:noWrap/>
            <w:vAlign w:val="bottom"/>
            <w:hideMark/>
          </w:tcPr>
          <w:p w14:paraId="0F645D0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16,3%</w:t>
            </w:r>
          </w:p>
        </w:tc>
      </w:tr>
      <w:tr w:rsidR="004F08A8" w:rsidRPr="00E944FA" w14:paraId="6AE9C9AD"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8F70650"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Luján (Ezeiza)</w:t>
            </w:r>
          </w:p>
        </w:tc>
        <w:tc>
          <w:tcPr>
            <w:tcW w:w="527" w:type="pct"/>
            <w:tcBorders>
              <w:top w:val="nil"/>
              <w:left w:val="nil"/>
              <w:bottom w:val="single" w:sz="4" w:space="0" w:color="auto"/>
              <w:right w:val="single" w:sz="4" w:space="0" w:color="auto"/>
            </w:tcBorders>
            <w:shd w:val="clear" w:color="auto" w:fill="auto"/>
            <w:noWrap/>
            <w:vAlign w:val="bottom"/>
            <w:hideMark/>
          </w:tcPr>
          <w:p w14:paraId="37BA1C8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13,3%</w:t>
            </w:r>
          </w:p>
        </w:tc>
        <w:tc>
          <w:tcPr>
            <w:tcW w:w="591" w:type="pct"/>
            <w:tcBorders>
              <w:top w:val="nil"/>
              <w:left w:val="nil"/>
              <w:bottom w:val="single" w:sz="4" w:space="0" w:color="auto"/>
              <w:right w:val="single" w:sz="4" w:space="0" w:color="auto"/>
            </w:tcBorders>
            <w:shd w:val="clear" w:color="auto" w:fill="auto"/>
            <w:noWrap/>
            <w:vAlign w:val="bottom"/>
            <w:hideMark/>
          </w:tcPr>
          <w:p w14:paraId="79E45B0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6,7%</w:t>
            </w:r>
          </w:p>
        </w:tc>
        <w:tc>
          <w:tcPr>
            <w:tcW w:w="514" w:type="pct"/>
            <w:tcBorders>
              <w:top w:val="nil"/>
              <w:left w:val="nil"/>
              <w:bottom w:val="single" w:sz="4" w:space="0" w:color="auto"/>
              <w:right w:val="single" w:sz="4" w:space="0" w:color="auto"/>
            </w:tcBorders>
            <w:shd w:val="clear" w:color="auto" w:fill="auto"/>
            <w:noWrap/>
            <w:vAlign w:val="bottom"/>
            <w:hideMark/>
          </w:tcPr>
          <w:p w14:paraId="4883FC8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17,8%</w:t>
            </w:r>
          </w:p>
        </w:tc>
        <w:tc>
          <w:tcPr>
            <w:tcW w:w="499" w:type="pct"/>
            <w:tcBorders>
              <w:top w:val="nil"/>
              <w:left w:val="nil"/>
              <w:bottom w:val="single" w:sz="4" w:space="0" w:color="auto"/>
              <w:right w:val="single" w:sz="4" w:space="0" w:color="auto"/>
            </w:tcBorders>
            <w:shd w:val="clear" w:color="auto" w:fill="auto"/>
            <w:noWrap/>
            <w:vAlign w:val="bottom"/>
            <w:hideMark/>
          </w:tcPr>
          <w:p w14:paraId="0A7C4FE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5E12A1A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8,9%</w:t>
            </w:r>
          </w:p>
        </w:tc>
        <w:tc>
          <w:tcPr>
            <w:tcW w:w="792" w:type="pct"/>
            <w:tcBorders>
              <w:top w:val="nil"/>
              <w:left w:val="nil"/>
              <w:bottom w:val="single" w:sz="4" w:space="0" w:color="auto"/>
              <w:right w:val="single" w:sz="4" w:space="0" w:color="auto"/>
            </w:tcBorders>
            <w:shd w:val="clear" w:color="auto" w:fill="auto"/>
            <w:noWrap/>
            <w:vAlign w:val="bottom"/>
            <w:hideMark/>
          </w:tcPr>
          <w:p w14:paraId="0BD0F8E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11,1%</w:t>
            </w:r>
          </w:p>
        </w:tc>
      </w:tr>
      <w:tr w:rsidR="004F08A8" w:rsidRPr="00E944FA" w14:paraId="438ECF83"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25EAD32E"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Maria</w:t>
            </w:r>
            <w:proofErr w:type="spellEnd"/>
            <w:r w:rsidRPr="00E944FA">
              <w:rPr>
                <w:rFonts w:eastAsia="Times New Roman" w:cs="Times New Roman"/>
                <w:color w:val="000000"/>
                <w:sz w:val="20"/>
                <w:szCs w:val="20"/>
              </w:rPr>
              <w:t xml:space="preserve"> Auxiliadora (CABA)</w:t>
            </w:r>
          </w:p>
        </w:tc>
        <w:tc>
          <w:tcPr>
            <w:tcW w:w="527" w:type="pct"/>
            <w:tcBorders>
              <w:top w:val="nil"/>
              <w:left w:val="nil"/>
              <w:bottom w:val="single" w:sz="4" w:space="0" w:color="auto"/>
              <w:right w:val="single" w:sz="4" w:space="0" w:color="auto"/>
            </w:tcBorders>
            <w:shd w:val="clear" w:color="auto" w:fill="auto"/>
            <w:noWrap/>
            <w:vAlign w:val="bottom"/>
            <w:hideMark/>
          </w:tcPr>
          <w:p w14:paraId="3CB463C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18,8%</w:t>
            </w:r>
          </w:p>
        </w:tc>
        <w:tc>
          <w:tcPr>
            <w:tcW w:w="591" w:type="pct"/>
            <w:tcBorders>
              <w:top w:val="nil"/>
              <w:left w:val="nil"/>
              <w:bottom w:val="single" w:sz="4" w:space="0" w:color="auto"/>
              <w:right w:val="single" w:sz="4" w:space="0" w:color="auto"/>
            </w:tcBorders>
            <w:shd w:val="clear" w:color="auto" w:fill="auto"/>
            <w:noWrap/>
            <w:vAlign w:val="bottom"/>
            <w:hideMark/>
          </w:tcPr>
          <w:p w14:paraId="6F63A6F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12,5%</w:t>
            </w:r>
          </w:p>
        </w:tc>
        <w:tc>
          <w:tcPr>
            <w:tcW w:w="514" w:type="pct"/>
            <w:tcBorders>
              <w:top w:val="nil"/>
              <w:left w:val="nil"/>
              <w:bottom w:val="single" w:sz="4" w:space="0" w:color="auto"/>
              <w:right w:val="single" w:sz="4" w:space="0" w:color="auto"/>
            </w:tcBorders>
            <w:shd w:val="clear" w:color="auto" w:fill="auto"/>
            <w:noWrap/>
            <w:vAlign w:val="bottom"/>
            <w:hideMark/>
          </w:tcPr>
          <w:p w14:paraId="5D0A743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9,4%</w:t>
            </w:r>
          </w:p>
        </w:tc>
        <w:tc>
          <w:tcPr>
            <w:tcW w:w="499" w:type="pct"/>
            <w:tcBorders>
              <w:top w:val="nil"/>
              <w:left w:val="nil"/>
              <w:bottom w:val="single" w:sz="4" w:space="0" w:color="auto"/>
              <w:right w:val="single" w:sz="4" w:space="0" w:color="auto"/>
            </w:tcBorders>
            <w:shd w:val="clear" w:color="auto" w:fill="auto"/>
            <w:noWrap/>
            <w:vAlign w:val="bottom"/>
            <w:hideMark/>
          </w:tcPr>
          <w:p w14:paraId="7518DA8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3,1%</w:t>
            </w:r>
          </w:p>
        </w:tc>
        <w:tc>
          <w:tcPr>
            <w:tcW w:w="502" w:type="pct"/>
            <w:tcBorders>
              <w:top w:val="nil"/>
              <w:left w:val="nil"/>
              <w:bottom w:val="single" w:sz="4" w:space="0" w:color="auto"/>
              <w:right w:val="single" w:sz="4" w:space="0" w:color="auto"/>
            </w:tcBorders>
            <w:shd w:val="clear" w:color="auto" w:fill="auto"/>
            <w:noWrap/>
            <w:vAlign w:val="bottom"/>
            <w:hideMark/>
          </w:tcPr>
          <w:p w14:paraId="5585A0D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6,3%</w:t>
            </w:r>
          </w:p>
        </w:tc>
        <w:tc>
          <w:tcPr>
            <w:tcW w:w="792" w:type="pct"/>
            <w:tcBorders>
              <w:top w:val="nil"/>
              <w:left w:val="nil"/>
              <w:bottom w:val="single" w:sz="4" w:space="0" w:color="auto"/>
              <w:right w:val="single" w:sz="4" w:space="0" w:color="auto"/>
            </w:tcBorders>
            <w:shd w:val="clear" w:color="auto" w:fill="auto"/>
            <w:noWrap/>
            <w:vAlign w:val="bottom"/>
            <w:hideMark/>
          </w:tcPr>
          <w:p w14:paraId="0277A8A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12,5%</w:t>
            </w:r>
          </w:p>
        </w:tc>
      </w:tr>
      <w:tr w:rsidR="004F08A8" w:rsidRPr="00E944FA" w14:paraId="2BE24A67"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58BBA630"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Recoleta I (La Matanza)</w:t>
            </w:r>
          </w:p>
        </w:tc>
        <w:tc>
          <w:tcPr>
            <w:tcW w:w="527" w:type="pct"/>
            <w:tcBorders>
              <w:top w:val="nil"/>
              <w:left w:val="nil"/>
              <w:bottom w:val="single" w:sz="4" w:space="0" w:color="auto"/>
              <w:right w:val="single" w:sz="4" w:space="0" w:color="auto"/>
            </w:tcBorders>
            <w:shd w:val="clear" w:color="auto" w:fill="auto"/>
            <w:noWrap/>
            <w:vAlign w:val="bottom"/>
            <w:hideMark/>
          </w:tcPr>
          <w:p w14:paraId="31E368D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23,8%</w:t>
            </w:r>
          </w:p>
        </w:tc>
        <w:tc>
          <w:tcPr>
            <w:tcW w:w="591" w:type="pct"/>
            <w:tcBorders>
              <w:top w:val="nil"/>
              <w:left w:val="nil"/>
              <w:bottom w:val="single" w:sz="4" w:space="0" w:color="auto"/>
              <w:right w:val="single" w:sz="4" w:space="0" w:color="auto"/>
            </w:tcBorders>
            <w:shd w:val="clear" w:color="auto" w:fill="auto"/>
            <w:noWrap/>
            <w:vAlign w:val="bottom"/>
            <w:hideMark/>
          </w:tcPr>
          <w:p w14:paraId="7C3AAF9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6,0%</w:t>
            </w:r>
          </w:p>
        </w:tc>
        <w:tc>
          <w:tcPr>
            <w:tcW w:w="514" w:type="pct"/>
            <w:tcBorders>
              <w:top w:val="nil"/>
              <w:left w:val="nil"/>
              <w:bottom w:val="single" w:sz="4" w:space="0" w:color="auto"/>
              <w:right w:val="single" w:sz="4" w:space="0" w:color="auto"/>
            </w:tcBorders>
            <w:shd w:val="clear" w:color="auto" w:fill="auto"/>
            <w:noWrap/>
            <w:vAlign w:val="bottom"/>
            <w:hideMark/>
          </w:tcPr>
          <w:p w14:paraId="726E19E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15,3%</w:t>
            </w:r>
          </w:p>
        </w:tc>
        <w:tc>
          <w:tcPr>
            <w:tcW w:w="499" w:type="pct"/>
            <w:tcBorders>
              <w:top w:val="nil"/>
              <w:left w:val="nil"/>
              <w:bottom w:val="single" w:sz="4" w:space="0" w:color="auto"/>
              <w:right w:val="single" w:sz="4" w:space="0" w:color="auto"/>
            </w:tcBorders>
            <w:shd w:val="clear" w:color="auto" w:fill="auto"/>
            <w:noWrap/>
            <w:vAlign w:val="bottom"/>
            <w:hideMark/>
          </w:tcPr>
          <w:p w14:paraId="04E39C3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8,1%</w:t>
            </w:r>
          </w:p>
        </w:tc>
        <w:tc>
          <w:tcPr>
            <w:tcW w:w="502" w:type="pct"/>
            <w:tcBorders>
              <w:top w:val="nil"/>
              <w:left w:val="nil"/>
              <w:bottom w:val="single" w:sz="4" w:space="0" w:color="auto"/>
              <w:right w:val="single" w:sz="4" w:space="0" w:color="auto"/>
            </w:tcBorders>
            <w:shd w:val="clear" w:color="auto" w:fill="auto"/>
            <w:noWrap/>
            <w:vAlign w:val="bottom"/>
            <w:hideMark/>
          </w:tcPr>
          <w:p w14:paraId="2AED9F5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7,2%</w:t>
            </w:r>
          </w:p>
        </w:tc>
        <w:tc>
          <w:tcPr>
            <w:tcW w:w="792" w:type="pct"/>
            <w:tcBorders>
              <w:top w:val="nil"/>
              <w:left w:val="nil"/>
              <w:bottom w:val="single" w:sz="4" w:space="0" w:color="auto"/>
              <w:right w:val="single" w:sz="4" w:space="0" w:color="auto"/>
            </w:tcBorders>
            <w:shd w:val="clear" w:color="auto" w:fill="auto"/>
            <w:noWrap/>
            <w:vAlign w:val="bottom"/>
            <w:hideMark/>
          </w:tcPr>
          <w:p w14:paraId="7907660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27,2%</w:t>
            </w:r>
          </w:p>
        </w:tc>
      </w:tr>
      <w:tr w:rsidR="004F08A8" w:rsidRPr="00E944FA" w14:paraId="0D1052E4"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234D10E2"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Sakura</w:t>
            </w:r>
            <w:proofErr w:type="spellEnd"/>
            <w:r w:rsidRPr="00E944FA">
              <w:rPr>
                <w:rFonts w:eastAsia="Times New Roman" w:cs="Times New Roman"/>
                <w:color w:val="000000"/>
                <w:sz w:val="20"/>
                <w:szCs w:val="20"/>
              </w:rPr>
              <w:t xml:space="preserve"> (</w:t>
            </w:r>
            <w:proofErr w:type="spellStart"/>
            <w:r w:rsidRPr="00E944FA">
              <w:rPr>
                <w:rFonts w:eastAsia="Times New Roman" w:cs="Times New Roman"/>
                <w:color w:val="000000"/>
                <w:sz w:val="20"/>
                <w:szCs w:val="20"/>
              </w:rPr>
              <w:t>Alte</w:t>
            </w:r>
            <w:proofErr w:type="spellEnd"/>
            <w:r w:rsidRPr="00E944FA">
              <w:rPr>
                <w:rFonts w:eastAsia="Times New Roman" w:cs="Times New Roman"/>
                <w:color w:val="000000"/>
                <w:sz w:val="20"/>
                <w:szCs w:val="20"/>
              </w:rPr>
              <w:t>. Brown)</w:t>
            </w:r>
          </w:p>
        </w:tc>
        <w:tc>
          <w:tcPr>
            <w:tcW w:w="527" w:type="pct"/>
            <w:tcBorders>
              <w:top w:val="nil"/>
              <w:left w:val="nil"/>
              <w:bottom w:val="single" w:sz="4" w:space="0" w:color="auto"/>
              <w:right w:val="single" w:sz="4" w:space="0" w:color="auto"/>
            </w:tcBorders>
            <w:shd w:val="clear" w:color="auto" w:fill="auto"/>
            <w:noWrap/>
            <w:vAlign w:val="bottom"/>
            <w:hideMark/>
          </w:tcPr>
          <w:p w14:paraId="5E8D822B"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22,2%</w:t>
            </w:r>
          </w:p>
        </w:tc>
        <w:tc>
          <w:tcPr>
            <w:tcW w:w="591" w:type="pct"/>
            <w:tcBorders>
              <w:top w:val="nil"/>
              <w:left w:val="nil"/>
              <w:bottom w:val="single" w:sz="4" w:space="0" w:color="auto"/>
              <w:right w:val="single" w:sz="4" w:space="0" w:color="auto"/>
            </w:tcBorders>
            <w:shd w:val="clear" w:color="auto" w:fill="auto"/>
            <w:noWrap/>
            <w:vAlign w:val="bottom"/>
            <w:hideMark/>
          </w:tcPr>
          <w:p w14:paraId="75C7A42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14,8%</w:t>
            </w:r>
          </w:p>
        </w:tc>
        <w:tc>
          <w:tcPr>
            <w:tcW w:w="514" w:type="pct"/>
            <w:tcBorders>
              <w:top w:val="nil"/>
              <w:left w:val="nil"/>
              <w:bottom w:val="single" w:sz="4" w:space="0" w:color="auto"/>
              <w:right w:val="single" w:sz="4" w:space="0" w:color="auto"/>
            </w:tcBorders>
            <w:shd w:val="clear" w:color="auto" w:fill="auto"/>
            <w:noWrap/>
            <w:vAlign w:val="bottom"/>
            <w:hideMark/>
          </w:tcPr>
          <w:p w14:paraId="06F25C8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14,8%</w:t>
            </w:r>
          </w:p>
        </w:tc>
        <w:tc>
          <w:tcPr>
            <w:tcW w:w="499" w:type="pct"/>
            <w:tcBorders>
              <w:top w:val="nil"/>
              <w:left w:val="nil"/>
              <w:bottom w:val="single" w:sz="4" w:space="0" w:color="auto"/>
              <w:right w:val="single" w:sz="4" w:space="0" w:color="auto"/>
            </w:tcBorders>
            <w:shd w:val="clear" w:color="auto" w:fill="auto"/>
            <w:noWrap/>
            <w:vAlign w:val="bottom"/>
            <w:hideMark/>
          </w:tcPr>
          <w:p w14:paraId="1AD40BB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3,7%</w:t>
            </w:r>
          </w:p>
        </w:tc>
        <w:tc>
          <w:tcPr>
            <w:tcW w:w="502" w:type="pct"/>
            <w:tcBorders>
              <w:top w:val="nil"/>
              <w:left w:val="nil"/>
              <w:bottom w:val="single" w:sz="4" w:space="0" w:color="auto"/>
              <w:right w:val="single" w:sz="4" w:space="0" w:color="auto"/>
            </w:tcBorders>
            <w:shd w:val="clear" w:color="auto" w:fill="auto"/>
            <w:noWrap/>
            <w:vAlign w:val="bottom"/>
            <w:hideMark/>
          </w:tcPr>
          <w:p w14:paraId="53D17A0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auto" w:fill="auto"/>
            <w:noWrap/>
            <w:vAlign w:val="bottom"/>
            <w:hideMark/>
          </w:tcPr>
          <w:p w14:paraId="2643AB5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3,7%</w:t>
            </w:r>
          </w:p>
        </w:tc>
      </w:tr>
      <w:tr w:rsidR="004F08A8" w:rsidRPr="00E944FA" w14:paraId="33D8050C"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648B019"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San Andrés (Ezeiza)</w:t>
            </w:r>
          </w:p>
        </w:tc>
        <w:tc>
          <w:tcPr>
            <w:tcW w:w="527" w:type="pct"/>
            <w:tcBorders>
              <w:top w:val="nil"/>
              <w:left w:val="nil"/>
              <w:bottom w:val="single" w:sz="4" w:space="0" w:color="auto"/>
              <w:right w:val="single" w:sz="4" w:space="0" w:color="auto"/>
            </w:tcBorders>
            <w:shd w:val="clear" w:color="auto" w:fill="auto"/>
            <w:noWrap/>
            <w:vAlign w:val="bottom"/>
            <w:hideMark/>
          </w:tcPr>
          <w:p w14:paraId="6D987C8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13,7%</w:t>
            </w:r>
          </w:p>
        </w:tc>
        <w:tc>
          <w:tcPr>
            <w:tcW w:w="591" w:type="pct"/>
            <w:tcBorders>
              <w:top w:val="nil"/>
              <w:left w:val="nil"/>
              <w:bottom w:val="single" w:sz="4" w:space="0" w:color="auto"/>
              <w:right w:val="single" w:sz="4" w:space="0" w:color="auto"/>
            </w:tcBorders>
            <w:shd w:val="clear" w:color="auto" w:fill="auto"/>
            <w:noWrap/>
            <w:vAlign w:val="bottom"/>
            <w:hideMark/>
          </w:tcPr>
          <w:p w14:paraId="0DEF4CC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3,9%</w:t>
            </w:r>
          </w:p>
        </w:tc>
        <w:tc>
          <w:tcPr>
            <w:tcW w:w="514" w:type="pct"/>
            <w:tcBorders>
              <w:top w:val="nil"/>
              <w:left w:val="nil"/>
              <w:bottom w:val="single" w:sz="4" w:space="0" w:color="auto"/>
              <w:right w:val="single" w:sz="4" w:space="0" w:color="auto"/>
            </w:tcBorders>
            <w:shd w:val="clear" w:color="auto" w:fill="auto"/>
            <w:noWrap/>
            <w:vAlign w:val="bottom"/>
            <w:hideMark/>
          </w:tcPr>
          <w:p w14:paraId="30600A4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16,3%</w:t>
            </w:r>
          </w:p>
        </w:tc>
        <w:tc>
          <w:tcPr>
            <w:tcW w:w="499" w:type="pct"/>
            <w:tcBorders>
              <w:top w:val="nil"/>
              <w:left w:val="nil"/>
              <w:bottom w:val="single" w:sz="4" w:space="0" w:color="auto"/>
              <w:right w:val="single" w:sz="4" w:space="0" w:color="auto"/>
            </w:tcBorders>
            <w:shd w:val="clear" w:color="auto" w:fill="auto"/>
            <w:noWrap/>
            <w:vAlign w:val="bottom"/>
            <w:hideMark/>
          </w:tcPr>
          <w:p w14:paraId="6F77769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5,2%</w:t>
            </w:r>
          </w:p>
        </w:tc>
        <w:tc>
          <w:tcPr>
            <w:tcW w:w="502" w:type="pct"/>
            <w:tcBorders>
              <w:top w:val="nil"/>
              <w:left w:val="nil"/>
              <w:bottom w:val="single" w:sz="4" w:space="0" w:color="auto"/>
              <w:right w:val="single" w:sz="4" w:space="0" w:color="auto"/>
            </w:tcBorders>
            <w:shd w:val="clear" w:color="auto" w:fill="auto"/>
            <w:noWrap/>
            <w:vAlign w:val="bottom"/>
            <w:hideMark/>
          </w:tcPr>
          <w:p w14:paraId="550EA56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3,9%</w:t>
            </w:r>
          </w:p>
        </w:tc>
        <w:tc>
          <w:tcPr>
            <w:tcW w:w="792" w:type="pct"/>
            <w:tcBorders>
              <w:top w:val="nil"/>
              <w:left w:val="nil"/>
              <w:bottom w:val="single" w:sz="4" w:space="0" w:color="auto"/>
              <w:right w:val="single" w:sz="4" w:space="0" w:color="auto"/>
            </w:tcBorders>
            <w:shd w:val="clear" w:color="auto" w:fill="auto"/>
            <w:noWrap/>
            <w:vAlign w:val="bottom"/>
            <w:hideMark/>
          </w:tcPr>
          <w:p w14:paraId="2DEB383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8,5%</w:t>
            </w:r>
          </w:p>
        </w:tc>
      </w:tr>
      <w:tr w:rsidR="004F08A8" w:rsidRPr="00E944FA" w14:paraId="08FD79AE"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01467541"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San Carlos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070CF491"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6,7%</w:t>
            </w:r>
          </w:p>
        </w:tc>
        <w:tc>
          <w:tcPr>
            <w:tcW w:w="591" w:type="pct"/>
            <w:tcBorders>
              <w:top w:val="nil"/>
              <w:left w:val="nil"/>
              <w:bottom w:val="single" w:sz="4" w:space="0" w:color="auto"/>
              <w:right w:val="single" w:sz="4" w:space="0" w:color="auto"/>
            </w:tcBorders>
            <w:shd w:val="clear" w:color="auto" w:fill="auto"/>
            <w:noWrap/>
            <w:vAlign w:val="bottom"/>
            <w:hideMark/>
          </w:tcPr>
          <w:p w14:paraId="170F09C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2,2%</w:t>
            </w:r>
          </w:p>
        </w:tc>
        <w:tc>
          <w:tcPr>
            <w:tcW w:w="514" w:type="pct"/>
            <w:tcBorders>
              <w:top w:val="nil"/>
              <w:left w:val="nil"/>
              <w:bottom w:val="single" w:sz="4" w:space="0" w:color="auto"/>
              <w:right w:val="single" w:sz="4" w:space="0" w:color="auto"/>
            </w:tcBorders>
            <w:shd w:val="clear" w:color="auto" w:fill="auto"/>
            <w:noWrap/>
            <w:vAlign w:val="bottom"/>
            <w:hideMark/>
          </w:tcPr>
          <w:p w14:paraId="36F64DD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8,9%</w:t>
            </w:r>
          </w:p>
        </w:tc>
        <w:tc>
          <w:tcPr>
            <w:tcW w:w="499" w:type="pct"/>
            <w:tcBorders>
              <w:top w:val="nil"/>
              <w:left w:val="nil"/>
              <w:bottom w:val="single" w:sz="4" w:space="0" w:color="auto"/>
              <w:right w:val="single" w:sz="4" w:space="0" w:color="auto"/>
            </w:tcBorders>
            <w:shd w:val="clear" w:color="auto" w:fill="auto"/>
            <w:noWrap/>
            <w:vAlign w:val="bottom"/>
            <w:hideMark/>
          </w:tcPr>
          <w:p w14:paraId="221480E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07A175E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4,4%</w:t>
            </w:r>
          </w:p>
        </w:tc>
        <w:tc>
          <w:tcPr>
            <w:tcW w:w="792" w:type="pct"/>
            <w:tcBorders>
              <w:top w:val="nil"/>
              <w:left w:val="nil"/>
              <w:bottom w:val="single" w:sz="4" w:space="0" w:color="auto"/>
              <w:right w:val="single" w:sz="4" w:space="0" w:color="auto"/>
            </w:tcBorders>
            <w:shd w:val="clear" w:color="auto" w:fill="auto"/>
            <w:noWrap/>
            <w:vAlign w:val="bottom"/>
            <w:hideMark/>
          </w:tcPr>
          <w:p w14:paraId="58351F4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4,4%</w:t>
            </w:r>
          </w:p>
        </w:tc>
      </w:tr>
      <w:tr w:rsidR="004F08A8" w:rsidRPr="00E944FA" w14:paraId="3E3AADFB" w14:textId="77777777" w:rsidTr="00E944FA">
        <w:trPr>
          <w:trHeight w:hRule="exact" w:val="553"/>
        </w:trPr>
        <w:tc>
          <w:tcPr>
            <w:tcW w:w="1576" w:type="pct"/>
            <w:tcBorders>
              <w:top w:val="nil"/>
              <w:left w:val="single" w:sz="4" w:space="0" w:color="auto"/>
              <w:bottom w:val="single" w:sz="4" w:space="0" w:color="auto"/>
              <w:right w:val="single" w:sz="4" w:space="0" w:color="auto"/>
            </w:tcBorders>
            <w:shd w:val="clear" w:color="000000" w:fill="D9D9D9"/>
            <w:noWrap/>
            <w:vAlign w:val="bottom"/>
            <w:hideMark/>
          </w:tcPr>
          <w:p w14:paraId="7F31B2FE" w14:textId="42DD8B1F"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San Carlos Oeste (E. Echeverría)</w:t>
            </w:r>
            <w:r w:rsidR="00C82A08" w:rsidRPr="00E944FA">
              <w:rPr>
                <w:rFonts w:eastAsia="Times New Roman" w:cs="Times New Roman"/>
                <w:color w:val="000000"/>
                <w:sz w:val="20"/>
                <w:szCs w:val="20"/>
              </w:rPr>
              <w:t>*</w:t>
            </w:r>
          </w:p>
        </w:tc>
        <w:tc>
          <w:tcPr>
            <w:tcW w:w="527" w:type="pct"/>
            <w:tcBorders>
              <w:top w:val="nil"/>
              <w:left w:val="nil"/>
              <w:bottom w:val="single" w:sz="4" w:space="0" w:color="auto"/>
              <w:right w:val="single" w:sz="4" w:space="0" w:color="auto"/>
            </w:tcBorders>
            <w:shd w:val="clear" w:color="000000" w:fill="D9D9D9"/>
            <w:noWrap/>
            <w:vAlign w:val="bottom"/>
            <w:hideMark/>
          </w:tcPr>
          <w:p w14:paraId="30ACAF9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91" w:type="pct"/>
            <w:tcBorders>
              <w:top w:val="nil"/>
              <w:left w:val="nil"/>
              <w:bottom w:val="single" w:sz="4" w:space="0" w:color="auto"/>
              <w:right w:val="single" w:sz="4" w:space="0" w:color="auto"/>
            </w:tcBorders>
            <w:shd w:val="clear" w:color="000000" w:fill="D9D9D9"/>
            <w:noWrap/>
            <w:vAlign w:val="bottom"/>
            <w:hideMark/>
          </w:tcPr>
          <w:p w14:paraId="6BD9DEE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14" w:type="pct"/>
            <w:tcBorders>
              <w:top w:val="nil"/>
              <w:left w:val="nil"/>
              <w:bottom w:val="single" w:sz="4" w:space="0" w:color="auto"/>
              <w:right w:val="single" w:sz="4" w:space="0" w:color="auto"/>
            </w:tcBorders>
            <w:shd w:val="clear" w:color="000000" w:fill="D9D9D9"/>
            <w:noWrap/>
            <w:vAlign w:val="bottom"/>
            <w:hideMark/>
          </w:tcPr>
          <w:p w14:paraId="2048CE4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499" w:type="pct"/>
            <w:tcBorders>
              <w:top w:val="nil"/>
              <w:left w:val="nil"/>
              <w:bottom w:val="single" w:sz="4" w:space="0" w:color="auto"/>
              <w:right w:val="single" w:sz="4" w:space="0" w:color="auto"/>
            </w:tcBorders>
            <w:shd w:val="clear" w:color="000000" w:fill="D9D9D9"/>
            <w:noWrap/>
            <w:vAlign w:val="bottom"/>
            <w:hideMark/>
          </w:tcPr>
          <w:p w14:paraId="241D968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000000" w:fill="D9D9D9"/>
            <w:noWrap/>
            <w:vAlign w:val="bottom"/>
            <w:hideMark/>
          </w:tcPr>
          <w:p w14:paraId="1E2405F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000000" w:fill="D9D9D9"/>
            <w:noWrap/>
            <w:vAlign w:val="bottom"/>
            <w:hideMark/>
          </w:tcPr>
          <w:p w14:paraId="6704CD0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r>
      <w:tr w:rsidR="004F08A8" w:rsidRPr="00E944FA" w14:paraId="3DC398CB"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6C315C9C"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Soledad (Lomas de Zamora)</w:t>
            </w:r>
          </w:p>
        </w:tc>
        <w:tc>
          <w:tcPr>
            <w:tcW w:w="527" w:type="pct"/>
            <w:tcBorders>
              <w:top w:val="nil"/>
              <w:left w:val="nil"/>
              <w:bottom w:val="single" w:sz="4" w:space="0" w:color="auto"/>
              <w:right w:val="single" w:sz="4" w:space="0" w:color="auto"/>
            </w:tcBorders>
            <w:shd w:val="clear" w:color="auto" w:fill="auto"/>
            <w:noWrap/>
            <w:vAlign w:val="bottom"/>
            <w:hideMark/>
          </w:tcPr>
          <w:p w14:paraId="3CBAB22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29,7%</w:t>
            </w:r>
          </w:p>
        </w:tc>
        <w:tc>
          <w:tcPr>
            <w:tcW w:w="591" w:type="pct"/>
            <w:tcBorders>
              <w:top w:val="nil"/>
              <w:left w:val="nil"/>
              <w:bottom w:val="single" w:sz="4" w:space="0" w:color="auto"/>
              <w:right w:val="single" w:sz="4" w:space="0" w:color="auto"/>
            </w:tcBorders>
            <w:shd w:val="clear" w:color="auto" w:fill="auto"/>
            <w:noWrap/>
            <w:vAlign w:val="bottom"/>
            <w:hideMark/>
          </w:tcPr>
          <w:p w14:paraId="61504D5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18,9%</w:t>
            </w:r>
          </w:p>
        </w:tc>
        <w:tc>
          <w:tcPr>
            <w:tcW w:w="514" w:type="pct"/>
            <w:tcBorders>
              <w:top w:val="nil"/>
              <w:left w:val="nil"/>
              <w:bottom w:val="single" w:sz="4" w:space="0" w:color="auto"/>
              <w:right w:val="single" w:sz="4" w:space="0" w:color="auto"/>
            </w:tcBorders>
            <w:shd w:val="clear" w:color="auto" w:fill="auto"/>
            <w:noWrap/>
            <w:vAlign w:val="bottom"/>
            <w:hideMark/>
          </w:tcPr>
          <w:p w14:paraId="60B4DD8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10,8%</w:t>
            </w:r>
          </w:p>
        </w:tc>
        <w:tc>
          <w:tcPr>
            <w:tcW w:w="499" w:type="pct"/>
            <w:tcBorders>
              <w:top w:val="nil"/>
              <w:left w:val="nil"/>
              <w:bottom w:val="single" w:sz="4" w:space="0" w:color="auto"/>
              <w:right w:val="single" w:sz="4" w:space="0" w:color="auto"/>
            </w:tcBorders>
            <w:shd w:val="clear" w:color="auto" w:fill="auto"/>
            <w:noWrap/>
            <w:vAlign w:val="bottom"/>
            <w:hideMark/>
          </w:tcPr>
          <w:p w14:paraId="15A3375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2,7%</w:t>
            </w:r>
          </w:p>
        </w:tc>
        <w:tc>
          <w:tcPr>
            <w:tcW w:w="502" w:type="pct"/>
            <w:tcBorders>
              <w:top w:val="nil"/>
              <w:left w:val="nil"/>
              <w:bottom w:val="single" w:sz="4" w:space="0" w:color="auto"/>
              <w:right w:val="single" w:sz="4" w:space="0" w:color="auto"/>
            </w:tcBorders>
            <w:shd w:val="clear" w:color="auto" w:fill="auto"/>
            <w:noWrap/>
            <w:vAlign w:val="bottom"/>
            <w:hideMark/>
          </w:tcPr>
          <w:p w14:paraId="318FFB4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5,4%</w:t>
            </w:r>
          </w:p>
        </w:tc>
        <w:tc>
          <w:tcPr>
            <w:tcW w:w="792" w:type="pct"/>
            <w:tcBorders>
              <w:top w:val="nil"/>
              <w:left w:val="nil"/>
              <w:bottom w:val="single" w:sz="4" w:space="0" w:color="auto"/>
              <w:right w:val="single" w:sz="4" w:space="0" w:color="auto"/>
            </w:tcBorders>
            <w:shd w:val="clear" w:color="auto" w:fill="auto"/>
            <w:noWrap/>
            <w:vAlign w:val="bottom"/>
            <w:hideMark/>
          </w:tcPr>
          <w:p w14:paraId="7BA68184"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16,2%</w:t>
            </w:r>
          </w:p>
        </w:tc>
      </w:tr>
      <w:tr w:rsidR="004F08A8" w:rsidRPr="00E944FA" w14:paraId="6CDD09AC"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13C976B2"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Torchiario</w:t>
            </w:r>
            <w:proofErr w:type="spellEnd"/>
            <w:r w:rsidRPr="00E944FA">
              <w:rPr>
                <w:rFonts w:eastAsia="Times New Roman" w:cs="Times New Roman"/>
                <w:color w:val="000000"/>
                <w:sz w:val="20"/>
                <w:szCs w:val="20"/>
              </w:rPr>
              <w:t xml:space="preserve"> (Marcos Paz)</w:t>
            </w:r>
          </w:p>
        </w:tc>
        <w:tc>
          <w:tcPr>
            <w:tcW w:w="527" w:type="pct"/>
            <w:tcBorders>
              <w:top w:val="nil"/>
              <w:left w:val="nil"/>
              <w:bottom w:val="single" w:sz="4" w:space="0" w:color="auto"/>
              <w:right w:val="single" w:sz="4" w:space="0" w:color="auto"/>
            </w:tcBorders>
            <w:shd w:val="clear" w:color="auto" w:fill="auto"/>
            <w:noWrap/>
            <w:vAlign w:val="bottom"/>
            <w:hideMark/>
          </w:tcPr>
          <w:p w14:paraId="32DB411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10,4%</w:t>
            </w:r>
          </w:p>
        </w:tc>
        <w:tc>
          <w:tcPr>
            <w:tcW w:w="591" w:type="pct"/>
            <w:tcBorders>
              <w:top w:val="nil"/>
              <w:left w:val="nil"/>
              <w:bottom w:val="single" w:sz="4" w:space="0" w:color="auto"/>
              <w:right w:val="single" w:sz="4" w:space="0" w:color="auto"/>
            </w:tcBorders>
            <w:shd w:val="clear" w:color="auto" w:fill="auto"/>
            <w:noWrap/>
            <w:vAlign w:val="bottom"/>
            <w:hideMark/>
          </w:tcPr>
          <w:p w14:paraId="205BD7B5"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6,3%</w:t>
            </w:r>
          </w:p>
        </w:tc>
        <w:tc>
          <w:tcPr>
            <w:tcW w:w="514" w:type="pct"/>
            <w:tcBorders>
              <w:top w:val="nil"/>
              <w:left w:val="nil"/>
              <w:bottom w:val="single" w:sz="4" w:space="0" w:color="auto"/>
              <w:right w:val="single" w:sz="4" w:space="0" w:color="auto"/>
            </w:tcBorders>
            <w:shd w:val="clear" w:color="auto" w:fill="auto"/>
            <w:noWrap/>
            <w:vAlign w:val="bottom"/>
            <w:hideMark/>
          </w:tcPr>
          <w:p w14:paraId="7E6F0CD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12,5%</w:t>
            </w:r>
          </w:p>
        </w:tc>
        <w:tc>
          <w:tcPr>
            <w:tcW w:w="499" w:type="pct"/>
            <w:tcBorders>
              <w:top w:val="nil"/>
              <w:left w:val="nil"/>
              <w:bottom w:val="single" w:sz="4" w:space="0" w:color="auto"/>
              <w:right w:val="single" w:sz="4" w:space="0" w:color="auto"/>
            </w:tcBorders>
            <w:shd w:val="clear" w:color="auto" w:fill="auto"/>
            <w:noWrap/>
            <w:vAlign w:val="bottom"/>
            <w:hideMark/>
          </w:tcPr>
          <w:p w14:paraId="054DCA3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6,3%</w:t>
            </w:r>
          </w:p>
        </w:tc>
        <w:tc>
          <w:tcPr>
            <w:tcW w:w="502" w:type="pct"/>
            <w:tcBorders>
              <w:top w:val="nil"/>
              <w:left w:val="nil"/>
              <w:bottom w:val="single" w:sz="4" w:space="0" w:color="auto"/>
              <w:right w:val="single" w:sz="4" w:space="0" w:color="auto"/>
            </w:tcBorders>
            <w:shd w:val="clear" w:color="auto" w:fill="auto"/>
            <w:noWrap/>
            <w:vAlign w:val="bottom"/>
            <w:hideMark/>
          </w:tcPr>
          <w:p w14:paraId="1453558F"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14,6%</w:t>
            </w:r>
          </w:p>
        </w:tc>
        <w:tc>
          <w:tcPr>
            <w:tcW w:w="792" w:type="pct"/>
            <w:tcBorders>
              <w:top w:val="nil"/>
              <w:left w:val="nil"/>
              <w:bottom w:val="single" w:sz="4" w:space="0" w:color="auto"/>
              <w:right w:val="single" w:sz="4" w:space="0" w:color="auto"/>
            </w:tcBorders>
            <w:shd w:val="clear" w:color="auto" w:fill="auto"/>
            <w:noWrap/>
            <w:vAlign w:val="bottom"/>
            <w:hideMark/>
          </w:tcPr>
          <w:p w14:paraId="5C05FD8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4,2%</w:t>
            </w:r>
          </w:p>
        </w:tc>
      </w:tr>
      <w:tr w:rsidR="004F08A8" w:rsidRPr="00E944FA" w14:paraId="0D8493E8"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76C90A8F"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Trasradio</w:t>
            </w:r>
            <w:proofErr w:type="spellEnd"/>
            <w:r w:rsidRPr="00E944FA">
              <w:rPr>
                <w:rFonts w:eastAsia="Times New Roman" w:cs="Times New Roman"/>
                <w:color w:val="000000"/>
                <w:sz w:val="20"/>
                <w:szCs w:val="20"/>
              </w:rPr>
              <w:t xml:space="preserve"> (E. Echeverría)</w:t>
            </w:r>
          </w:p>
        </w:tc>
        <w:tc>
          <w:tcPr>
            <w:tcW w:w="527" w:type="pct"/>
            <w:tcBorders>
              <w:top w:val="nil"/>
              <w:left w:val="nil"/>
              <w:bottom w:val="single" w:sz="4" w:space="0" w:color="auto"/>
              <w:right w:val="single" w:sz="4" w:space="0" w:color="auto"/>
            </w:tcBorders>
            <w:shd w:val="clear" w:color="auto" w:fill="auto"/>
            <w:noWrap/>
            <w:vAlign w:val="bottom"/>
            <w:hideMark/>
          </w:tcPr>
          <w:p w14:paraId="19A7128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13,0%</w:t>
            </w:r>
          </w:p>
        </w:tc>
        <w:tc>
          <w:tcPr>
            <w:tcW w:w="591" w:type="pct"/>
            <w:tcBorders>
              <w:top w:val="nil"/>
              <w:left w:val="nil"/>
              <w:bottom w:val="single" w:sz="4" w:space="0" w:color="auto"/>
              <w:right w:val="single" w:sz="4" w:space="0" w:color="auto"/>
            </w:tcBorders>
            <w:shd w:val="clear" w:color="auto" w:fill="auto"/>
            <w:noWrap/>
            <w:vAlign w:val="bottom"/>
            <w:hideMark/>
          </w:tcPr>
          <w:p w14:paraId="397F75C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8,7%</w:t>
            </w:r>
          </w:p>
        </w:tc>
        <w:tc>
          <w:tcPr>
            <w:tcW w:w="514" w:type="pct"/>
            <w:tcBorders>
              <w:top w:val="nil"/>
              <w:left w:val="nil"/>
              <w:bottom w:val="single" w:sz="4" w:space="0" w:color="auto"/>
              <w:right w:val="single" w:sz="4" w:space="0" w:color="auto"/>
            </w:tcBorders>
            <w:shd w:val="clear" w:color="auto" w:fill="auto"/>
            <w:noWrap/>
            <w:vAlign w:val="bottom"/>
            <w:hideMark/>
          </w:tcPr>
          <w:p w14:paraId="69D622D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30,4%</w:t>
            </w:r>
          </w:p>
        </w:tc>
        <w:tc>
          <w:tcPr>
            <w:tcW w:w="499" w:type="pct"/>
            <w:tcBorders>
              <w:top w:val="nil"/>
              <w:left w:val="nil"/>
              <w:bottom w:val="single" w:sz="4" w:space="0" w:color="auto"/>
              <w:right w:val="single" w:sz="4" w:space="0" w:color="auto"/>
            </w:tcBorders>
            <w:shd w:val="clear" w:color="auto" w:fill="auto"/>
            <w:noWrap/>
            <w:vAlign w:val="bottom"/>
            <w:hideMark/>
          </w:tcPr>
          <w:p w14:paraId="570474B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26,1%</w:t>
            </w:r>
          </w:p>
        </w:tc>
        <w:tc>
          <w:tcPr>
            <w:tcW w:w="502" w:type="pct"/>
            <w:tcBorders>
              <w:top w:val="nil"/>
              <w:left w:val="nil"/>
              <w:bottom w:val="single" w:sz="4" w:space="0" w:color="auto"/>
              <w:right w:val="single" w:sz="4" w:space="0" w:color="auto"/>
            </w:tcBorders>
            <w:shd w:val="clear" w:color="auto" w:fill="auto"/>
            <w:noWrap/>
            <w:vAlign w:val="bottom"/>
            <w:hideMark/>
          </w:tcPr>
          <w:p w14:paraId="60FF6B8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8,7%</w:t>
            </w:r>
          </w:p>
        </w:tc>
        <w:tc>
          <w:tcPr>
            <w:tcW w:w="792" w:type="pct"/>
            <w:tcBorders>
              <w:top w:val="nil"/>
              <w:left w:val="nil"/>
              <w:bottom w:val="single" w:sz="4" w:space="0" w:color="auto"/>
              <w:right w:val="single" w:sz="4" w:space="0" w:color="auto"/>
            </w:tcBorders>
            <w:shd w:val="clear" w:color="auto" w:fill="auto"/>
            <w:noWrap/>
            <w:vAlign w:val="bottom"/>
            <w:hideMark/>
          </w:tcPr>
          <w:p w14:paraId="41CDC17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8,7%</w:t>
            </w:r>
          </w:p>
        </w:tc>
      </w:tr>
      <w:tr w:rsidR="004F08A8" w:rsidRPr="00E944FA" w14:paraId="070C5CDB"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322AE74D" w14:textId="77777777" w:rsidR="004F08A8" w:rsidRPr="00E944FA" w:rsidRDefault="004F08A8" w:rsidP="005404F2">
            <w:pPr>
              <w:spacing w:line="240" w:lineRule="auto"/>
              <w:jc w:val="left"/>
              <w:rPr>
                <w:rFonts w:eastAsia="Times New Roman" w:cs="Times New Roman"/>
                <w:color w:val="000000"/>
                <w:sz w:val="20"/>
                <w:szCs w:val="20"/>
              </w:rPr>
            </w:pPr>
            <w:proofErr w:type="spellStart"/>
            <w:r w:rsidRPr="00E944FA">
              <w:rPr>
                <w:rFonts w:eastAsia="Times New Roman" w:cs="Times New Roman"/>
                <w:color w:val="000000"/>
                <w:sz w:val="20"/>
                <w:szCs w:val="20"/>
              </w:rPr>
              <w:t>Urioste</w:t>
            </w:r>
            <w:proofErr w:type="spellEnd"/>
            <w:r w:rsidRPr="00E944FA">
              <w:rPr>
                <w:rFonts w:eastAsia="Times New Roman" w:cs="Times New Roman"/>
                <w:color w:val="000000"/>
                <w:sz w:val="20"/>
                <w:szCs w:val="20"/>
              </w:rPr>
              <w:t xml:space="preserve"> (Marcos Paz)</w:t>
            </w:r>
          </w:p>
        </w:tc>
        <w:tc>
          <w:tcPr>
            <w:tcW w:w="527" w:type="pct"/>
            <w:tcBorders>
              <w:top w:val="nil"/>
              <w:left w:val="nil"/>
              <w:bottom w:val="single" w:sz="4" w:space="0" w:color="auto"/>
              <w:right w:val="single" w:sz="4" w:space="0" w:color="auto"/>
            </w:tcBorders>
            <w:shd w:val="clear" w:color="auto" w:fill="auto"/>
            <w:noWrap/>
            <w:vAlign w:val="bottom"/>
            <w:hideMark/>
          </w:tcPr>
          <w:p w14:paraId="32F83B6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14,3%</w:t>
            </w:r>
          </w:p>
        </w:tc>
        <w:tc>
          <w:tcPr>
            <w:tcW w:w="591" w:type="pct"/>
            <w:tcBorders>
              <w:top w:val="nil"/>
              <w:left w:val="nil"/>
              <w:bottom w:val="single" w:sz="4" w:space="0" w:color="auto"/>
              <w:right w:val="single" w:sz="4" w:space="0" w:color="auto"/>
            </w:tcBorders>
            <w:shd w:val="clear" w:color="auto" w:fill="auto"/>
            <w:noWrap/>
            <w:vAlign w:val="bottom"/>
            <w:hideMark/>
          </w:tcPr>
          <w:p w14:paraId="780BD4BA"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9,5%</w:t>
            </w:r>
          </w:p>
        </w:tc>
        <w:tc>
          <w:tcPr>
            <w:tcW w:w="514" w:type="pct"/>
            <w:tcBorders>
              <w:top w:val="nil"/>
              <w:left w:val="nil"/>
              <w:bottom w:val="single" w:sz="4" w:space="0" w:color="auto"/>
              <w:right w:val="single" w:sz="4" w:space="0" w:color="auto"/>
            </w:tcBorders>
            <w:shd w:val="clear" w:color="auto" w:fill="auto"/>
            <w:noWrap/>
            <w:vAlign w:val="bottom"/>
            <w:hideMark/>
          </w:tcPr>
          <w:p w14:paraId="78ECDC80"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499" w:type="pct"/>
            <w:tcBorders>
              <w:top w:val="nil"/>
              <w:left w:val="nil"/>
              <w:bottom w:val="single" w:sz="4" w:space="0" w:color="auto"/>
              <w:right w:val="single" w:sz="4" w:space="0" w:color="auto"/>
            </w:tcBorders>
            <w:shd w:val="clear" w:color="auto" w:fill="auto"/>
            <w:noWrap/>
            <w:vAlign w:val="bottom"/>
            <w:hideMark/>
          </w:tcPr>
          <w:p w14:paraId="31D4214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320E31C2"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792" w:type="pct"/>
            <w:tcBorders>
              <w:top w:val="nil"/>
              <w:left w:val="nil"/>
              <w:bottom w:val="single" w:sz="4" w:space="0" w:color="auto"/>
              <w:right w:val="single" w:sz="4" w:space="0" w:color="auto"/>
            </w:tcBorders>
            <w:shd w:val="clear" w:color="auto" w:fill="auto"/>
            <w:noWrap/>
            <w:vAlign w:val="bottom"/>
            <w:hideMark/>
          </w:tcPr>
          <w:p w14:paraId="6597AE7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19,0%</w:t>
            </w:r>
          </w:p>
        </w:tc>
      </w:tr>
      <w:tr w:rsidR="004F08A8" w:rsidRPr="00E944FA" w14:paraId="4CD29996"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0052E054"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Villa Talleres (Lanús)</w:t>
            </w:r>
          </w:p>
        </w:tc>
        <w:tc>
          <w:tcPr>
            <w:tcW w:w="527" w:type="pct"/>
            <w:tcBorders>
              <w:top w:val="nil"/>
              <w:left w:val="nil"/>
              <w:bottom w:val="single" w:sz="4" w:space="0" w:color="auto"/>
              <w:right w:val="single" w:sz="4" w:space="0" w:color="auto"/>
            </w:tcBorders>
            <w:shd w:val="clear" w:color="auto" w:fill="auto"/>
            <w:noWrap/>
            <w:vAlign w:val="bottom"/>
            <w:hideMark/>
          </w:tcPr>
          <w:p w14:paraId="0674B4C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6,8%</w:t>
            </w:r>
          </w:p>
        </w:tc>
        <w:tc>
          <w:tcPr>
            <w:tcW w:w="591" w:type="pct"/>
            <w:tcBorders>
              <w:top w:val="nil"/>
              <w:left w:val="nil"/>
              <w:bottom w:val="single" w:sz="4" w:space="0" w:color="auto"/>
              <w:right w:val="single" w:sz="4" w:space="0" w:color="auto"/>
            </w:tcBorders>
            <w:shd w:val="clear" w:color="auto" w:fill="auto"/>
            <w:noWrap/>
            <w:vAlign w:val="bottom"/>
            <w:hideMark/>
          </w:tcPr>
          <w:p w14:paraId="46483453"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4,5%</w:t>
            </w:r>
          </w:p>
        </w:tc>
        <w:tc>
          <w:tcPr>
            <w:tcW w:w="514" w:type="pct"/>
            <w:tcBorders>
              <w:top w:val="nil"/>
              <w:left w:val="nil"/>
              <w:bottom w:val="single" w:sz="4" w:space="0" w:color="auto"/>
              <w:right w:val="single" w:sz="4" w:space="0" w:color="auto"/>
            </w:tcBorders>
            <w:shd w:val="clear" w:color="auto" w:fill="auto"/>
            <w:noWrap/>
            <w:vAlign w:val="bottom"/>
            <w:hideMark/>
          </w:tcPr>
          <w:p w14:paraId="5B0C29E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11,4%</w:t>
            </w:r>
          </w:p>
        </w:tc>
        <w:tc>
          <w:tcPr>
            <w:tcW w:w="499" w:type="pct"/>
            <w:tcBorders>
              <w:top w:val="nil"/>
              <w:left w:val="nil"/>
              <w:bottom w:val="single" w:sz="4" w:space="0" w:color="auto"/>
              <w:right w:val="single" w:sz="4" w:space="0" w:color="auto"/>
            </w:tcBorders>
            <w:shd w:val="clear" w:color="auto" w:fill="auto"/>
            <w:noWrap/>
            <w:vAlign w:val="bottom"/>
            <w:hideMark/>
          </w:tcPr>
          <w:p w14:paraId="7CB177F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0,0%</w:t>
            </w:r>
          </w:p>
        </w:tc>
        <w:tc>
          <w:tcPr>
            <w:tcW w:w="502" w:type="pct"/>
            <w:tcBorders>
              <w:top w:val="nil"/>
              <w:left w:val="nil"/>
              <w:bottom w:val="single" w:sz="4" w:space="0" w:color="auto"/>
              <w:right w:val="single" w:sz="4" w:space="0" w:color="auto"/>
            </w:tcBorders>
            <w:shd w:val="clear" w:color="auto" w:fill="auto"/>
            <w:noWrap/>
            <w:vAlign w:val="bottom"/>
            <w:hideMark/>
          </w:tcPr>
          <w:p w14:paraId="3F54E74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4,5%</w:t>
            </w:r>
          </w:p>
        </w:tc>
        <w:tc>
          <w:tcPr>
            <w:tcW w:w="792" w:type="pct"/>
            <w:tcBorders>
              <w:top w:val="nil"/>
              <w:left w:val="nil"/>
              <w:bottom w:val="single" w:sz="4" w:space="0" w:color="auto"/>
              <w:right w:val="single" w:sz="4" w:space="0" w:color="auto"/>
            </w:tcBorders>
            <w:shd w:val="clear" w:color="auto" w:fill="auto"/>
            <w:noWrap/>
            <w:vAlign w:val="bottom"/>
            <w:hideMark/>
          </w:tcPr>
          <w:p w14:paraId="373A260D"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6,8%</w:t>
            </w:r>
          </w:p>
        </w:tc>
      </w:tr>
      <w:tr w:rsidR="004F08A8" w:rsidRPr="00E944FA" w14:paraId="603FCD9D" w14:textId="77777777" w:rsidTr="00E944FA">
        <w:trPr>
          <w:trHeight w:hRule="exact" w:val="284"/>
        </w:trPr>
        <w:tc>
          <w:tcPr>
            <w:tcW w:w="1576" w:type="pct"/>
            <w:tcBorders>
              <w:top w:val="nil"/>
              <w:left w:val="single" w:sz="4" w:space="0" w:color="auto"/>
              <w:bottom w:val="single" w:sz="4" w:space="0" w:color="auto"/>
              <w:right w:val="single" w:sz="4" w:space="0" w:color="auto"/>
            </w:tcBorders>
            <w:shd w:val="clear" w:color="auto" w:fill="auto"/>
            <w:noWrap/>
            <w:vAlign w:val="bottom"/>
            <w:hideMark/>
          </w:tcPr>
          <w:p w14:paraId="465AF9AA" w14:textId="77777777" w:rsidR="004F08A8" w:rsidRPr="00E944FA" w:rsidRDefault="004F08A8" w:rsidP="005404F2">
            <w:pPr>
              <w:spacing w:line="240" w:lineRule="auto"/>
              <w:jc w:val="left"/>
              <w:rPr>
                <w:rFonts w:eastAsia="Times New Roman" w:cs="Times New Roman"/>
                <w:color w:val="000000"/>
                <w:sz w:val="20"/>
                <w:szCs w:val="20"/>
              </w:rPr>
            </w:pPr>
            <w:r w:rsidRPr="00E944FA">
              <w:rPr>
                <w:rFonts w:eastAsia="Times New Roman" w:cs="Times New Roman"/>
                <w:color w:val="000000"/>
                <w:sz w:val="20"/>
                <w:szCs w:val="20"/>
              </w:rPr>
              <w:t>Vista Linda (Ezeiza)</w:t>
            </w:r>
          </w:p>
        </w:tc>
        <w:tc>
          <w:tcPr>
            <w:tcW w:w="527" w:type="pct"/>
            <w:tcBorders>
              <w:top w:val="nil"/>
              <w:left w:val="nil"/>
              <w:bottom w:val="single" w:sz="4" w:space="0" w:color="auto"/>
              <w:right w:val="single" w:sz="4" w:space="0" w:color="auto"/>
            </w:tcBorders>
            <w:shd w:val="clear" w:color="auto" w:fill="auto"/>
            <w:noWrap/>
            <w:vAlign w:val="bottom"/>
            <w:hideMark/>
          </w:tcPr>
          <w:p w14:paraId="2B28D75C"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w:t>
            </w:r>
          </w:p>
        </w:tc>
        <w:tc>
          <w:tcPr>
            <w:tcW w:w="591" w:type="pct"/>
            <w:tcBorders>
              <w:top w:val="nil"/>
              <w:left w:val="nil"/>
              <w:bottom w:val="single" w:sz="4" w:space="0" w:color="auto"/>
              <w:right w:val="single" w:sz="4" w:space="0" w:color="auto"/>
            </w:tcBorders>
            <w:shd w:val="clear" w:color="auto" w:fill="auto"/>
            <w:noWrap/>
            <w:vAlign w:val="bottom"/>
            <w:hideMark/>
          </w:tcPr>
          <w:p w14:paraId="58DAADC7"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1,8%</w:t>
            </w:r>
          </w:p>
        </w:tc>
        <w:tc>
          <w:tcPr>
            <w:tcW w:w="514" w:type="pct"/>
            <w:tcBorders>
              <w:top w:val="nil"/>
              <w:left w:val="nil"/>
              <w:bottom w:val="single" w:sz="4" w:space="0" w:color="auto"/>
              <w:right w:val="single" w:sz="4" w:space="0" w:color="auto"/>
            </w:tcBorders>
            <w:shd w:val="clear" w:color="auto" w:fill="auto"/>
            <w:noWrap/>
            <w:vAlign w:val="bottom"/>
            <w:hideMark/>
          </w:tcPr>
          <w:p w14:paraId="58497E76"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8,8%</w:t>
            </w:r>
          </w:p>
        </w:tc>
        <w:tc>
          <w:tcPr>
            <w:tcW w:w="499" w:type="pct"/>
            <w:tcBorders>
              <w:top w:val="nil"/>
              <w:left w:val="nil"/>
              <w:bottom w:val="single" w:sz="4" w:space="0" w:color="auto"/>
              <w:right w:val="single" w:sz="4" w:space="0" w:color="auto"/>
            </w:tcBorders>
            <w:shd w:val="clear" w:color="auto" w:fill="auto"/>
            <w:noWrap/>
            <w:vAlign w:val="bottom"/>
            <w:hideMark/>
          </w:tcPr>
          <w:p w14:paraId="16856689"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5,3%</w:t>
            </w:r>
          </w:p>
        </w:tc>
        <w:tc>
          <w:tcPr>
            <w:tcW w:w="502" w:type="pct"/>
            <w:tcBorders>
              <w:top w:val="nil"/>
              <w:left w:val="nil"/>
              <w:bottom w:val="single" w:sz="4" w:space="0" w:color="auto"/>
              <w:right w:val="single" w:sz="4" w:space="0" w:color="auto"/>
            </w:tcBorders>
            <w:shd w:val="clear" w:color="auto" w:fill="auto"/>
            <w:noWrap/>
            <w:vAlign w:val="bottom"/>
            <w:hideMark/>
          </w:tcPr>
          <w:p w14:paraId="16BB5E4E"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5,3%</w:t>
            </w:r>
          </w:p>
        </w:tc>
        <w:tc>
          <w:tcPr>
            <w:tcW w:w="792" w:type="pct"/>
            <w:tcBorders>
              <w:top w:val="nil"/>
              <w:left w:val="nil"/>
              <w:bottom w:val="single" w:sz="4" w:space="0" w:color="auto"/>
              <w:right w:val="single" w:sz="4" w:space="0" w:color="auto"/>
            </w:tcBorders>
            <w:shd w:val="clear" w:color="auto" w:fill="auto"/>
            <w:noWrap/>
            <w:vAlign w:val="bottom"/>
            <w:hideMark/>
          </w:tcPr>
          <w:p w14:paraId="2D1D8338" w14:textId="77777777" w:rsidR="004F08A8" w:rsidRPr="00E944FA" w:rsidRDefault="004F08A8" w:rsidP="005404F2">
            <w:pPr>
              <w:spacing w:line="240" w:lineRule="auto"/>
              <w:rPr>
                <w:rFonts w:eastAsia="Times New Roman" w:cs="Times New Roman"/>
                <w:color w:val="000000"/>
                <w:sz w:val="20"/>
                <w:szCs w:val="20"/>
              </w:rPr>
            </w:pPr>
            <w:r w:rsidRPr="00E944FA">
              <w:rPr>
                <w:rFonts w:eastAsia="Times New Roman" w:cs="Times New Roman"/>
                <w:color w:val="000000"/>
                <w:sz w:val="20"/>
                <w:szCs w:val="20"/>
              </w:rPr>
              <w:t>10,5%</w:t>
            </w:r>
          </w:p>
        </w:tc>
      </w:tr>
      <w:tr w:rsidR="004F08A8" w:rsidRPr="00E944FA" w14:paraId="66ED808D" w14:textId="77777777" w:rsidTr="00E944FA">
        <w:trPr>
          <w:trHeight w:hRule="exact" w:val="279"/>
        </w:trPr>
        <w:tc>
          <w:tcPr>
            <w:tcW w:w="1576" w:type="pct"/>
            <w:tcBorders>
              <w:top w:val="nil"/>
              <w:left w:val="single" w:sz="4" w:space="0" w:color="auto"/>
              <w:bottom w:val="single" w:sz="4" w:space="0" w:color="auto"/>
              <w:right w:val="single" w:sz="4" w:space="0" w:color="auto"/>
            </w:tcBorders>
            <w:shd w:val="clear" w:color="000000" w:fill="FFF2CC"/>
            <w:vAlign w:val="center"/>
            <w:hideMark/>
          </w:tcPr>
          <w:p w14:paraId="0ABFEAD0" w14:textId="77777777" w:rsidR="004F08A8" w:rsidRPr="00E944FA" w:rsidRDefault="004F08A8" w:rsidP="004F08A8">
            <w:pPr>
              <w:spacing w:line="240" w:lineRule="auto"/>
              <w:jc w:val="center"/>
              <w:rPr>
                <w:rFonts w:eastAsia="Times New Roman" w:cs="Times New Roman"/>
                <w:b/>
                <w:bCs/>
                <w:color w:val="000000"/>
                <w:sz w:val="20"/>
                <w:szCs w:val="20"/>
              </w:rPr>
            </w:pPr>
            <w:r w:rsidRPr="00E944FA">
              <w:rPr>
                <w:rFonts w:eastAsia="Times New Roman" w:cs="Times New Roman"/>
                <w:b/>
                <w:bCs/>
                <w:color w:val="000000"/>
                <w:sz w:val="20"/>
                <w:szCs w:val="20"/>
              </w:rPr>
              <w:t>Total operativos</w:t>
            </w:r>
          </w:p>
        </w:tc>
        <w:tc>
          <w:tcPr>
            <w:tcW w:w="527" w:type="pct"/>
            <w:tcBorders>
              <w:top w:val="nil"/>
              <w:left w:val="nil"/>
              <w:bottom w:val="single" w:sz="4" w:space="0" w:color="auto"/>
              <w:right w:val="single" w:sz="4" w:space="0" w:color="auto"/>
            </w:tcBorders>
            <w:shd w:val="clear" w:color="000000" w:fill="FFF2CC"/>
            <w:vAlign w:val="center"/>
            <w:hideMark/>
          </w:tcPr>
          <w:p w14:paraId="7F9FDAD1"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14,6%</w:t>
            </w:r>
          </w:p>
        </w:tc>
        <w:tc>
          <w:tcPr>
            <w:tcW w:w="591" w:type="pct"/>
            <w:tcBorders>
              <w:top w:val="nil"/>
              <w:left w:val="nil"/>
              <w:bottom w:val="single" w:sz="4" w:space="0" w:color="auto"/>
              <w:right w:val="single" w:sz="4" w:space="0" w:color="auto"/>
            </w:tcBorders>
            <w:shd w:val="clear" w:color="000000" w:fill="FFF2CC"/>
            <w:vAlign w:val="center"/>
            <w:hideMark/>
          </w:tcPr>
          <w:p w14:paraId="329A790A"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6,1%</w:t>
            </w:r>
          </w:p>
        </w:tc>
        <w:tc>
          <w:tcPr>
            <w:tcW w:w="514" w:type="pct"/>
            <w:tcBorders>
              <w:top w:val="nil"/>
              <w:left w:val="nil"/>
              <w:bottom w:val="single" w:sz="4" w:space="0" w:color="auto"/>
              <w:right w:val="single" w:sz="4" w:space="0" w:color="auto"/>
            </w:tcBorders>
            <w:shd w:val="clear" w:color="000000" w:fill="FFF2CC"/>
            <w:vAlign w:val="center"/>
            <w:hideMark/>
          </w:tcPr>
          <w:p w14:paraId="6B224ADF"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13,2%</w:t>
            </w:r>
          </w:p>
        </w:tc>
        <w:tc>
          <w:tcPr>
            <w:tcW w:w="499" w:type="pct"/>
            <w:tcBorders>
              <w:top w:val="nil"/>
              <w:left w:val="nil"/>
              <w:bottom w:val="single" w:sz="4" w:space="0" w:color="auto"/>
              <w:right w:val="single" w:sz="4" w:space="0" w:color="auto"/>
            </w:tcBorders>
            <w:shd w:val="clear" w:color="000000" w:fill="FFF2CC"/>
            <w:vAlign w:val="center"/>
            <w:hideMark/>
          </w:tcPr>
          <w:p w14:paraId="1D9F4FD7"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4,5%</w:t>
            </w:r>
          </w:p>
        </w:tc>
        <w:tc>
          <w:tcPr>
            <w:tcW w:w="502" w:type="pct"/>
            <w:tcBorders>
              <w:top w:val="nil"/>
              <w:left w:val="nil"/>
              <w:bottom w:val="single" w:sz="4" w:space="0" w:color="auto"/>
              <w:right w:val="single" w:sz="4" w:space="0" w:color="auto"/>
            </w:tcBorders>
            <w:shd w:val="clear" w:color="000000" w:fill="FFF2CC"/>
            <w:vAlign w:val="center"/>
            <w:hideMark/>
          </w:tcPr>
          <w:p w14:paraId="03C6A448"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7,0%</w:t>
            </w:r>
          </w:p>
        </w:tc>
        <w:tc>
          <w:tcPr>
            <w:tcW w:w="792" w:type="pct"/>
            <w:tcBorders>
              <w:top w:val="nil"/>
              <w:left w:val="nil"/>
              <w:bottom w:val="single" w:sz="4" w:space="0" w:color="auto"/>
              <w:right w:val="single" w:sz="4" w:space="0" w:color="auto"/>
            </w:tcBorders>
            <w:shd w:val="clear" w:color="000000" w:fill="FFF2CC"/>
            <w:vAlign w:val="center"/>
            <w:hideMark/>
          </w:tcPr>
          <w:p w14:paraId="769901F8" w14:textId="77777777" w:rsidR="004F08A8" w:rsidRPr="00E944FA" w:rsidRDefault="004F08A8" w:rsidP="005404F2">
            <w:pPr>
              <w:spacing w:line="240" w:lineRule="auto"/>
              <w:rPr>
                <w:rFonts w:eastAsia="Times New Roman" w:cs="Times New Roman"/>
                <w:b/>
                <w:bCs/>
                <w:color w:val="000000"/>
                <w:sz w:val="20"/>
                <w:szCs w:val="20"/>
              </w:rPr>
            </w:pPr>
            <w:r w:rsidRPr="00E944FA">
              <w:rPr>
                <w:rFonts w:eastAsia="Times New Roman" w:cs="Times New Roman"/>
                <w:b/>
                <w:bCs/>
                <w:color w:val="000000"/>
                <w:sz w:val="20"/>
                <w:szCs w:val="20"/>
              </w:rPr>
              <w:t>11,9%</w:t>
            </w:r>
          </w:p>
        </w:tc>
      </w:tr>
    </w:tbl>
    <w:p w14:paraId="40698BFF" w14:textId="77777777" w:rsidR="004F08A8" w:rsidRDefault="004F08A8">
      <w:pPr>
        <w:ind w:firstLine="0"/>
        <w:jc w:val="left"/>
      </w:pPr>
    </w:p>
    <w:p w14:paraId="2C2C8942" w14:textId="6FFFCA79" w:rsidR="004F08A8" w:rsidRPr="00C82A08" w:rsidRDefault="00C82A08">
      <w:pPr>
        <w:ind w:firstLine="0"/>
        <w:jc w:val="left"/>
        <w:rPr>
          <w:sz w:val="20"/>
        </w:rPr>
      </w:pPr>
      <w:r w:rsidRPr="00C82A08">
        <w:rPr>
          <w:sz w:val="20"/>
        </w:rPr>
        <w:t>*En el relevamiento correspondiente al barrio San Carlos Oeste (E. Echeverría) no hubo población de menores a 6 años.</w:t>
      </w:r>
    </w:p>
    <w:p w14:paraId="439A77BA" w14:textId="77777777" w:rsidR="00900D5B" w:rsidRDefault="00C70F0F">
      <w:pPr>
        <w:ind w:left="2280" w:firstLine="600"/>
        <w:rPr>
          <w:b/>
        </w:rPr>
      </w:pPr>
      <w:r>
        <w:rPr>
          <w:sz w:val="18"/>
          <w:szCs w:val="18"/>
        </w:rPr>
        <w:t>Fuente: elaboración propia en base a datos EISAAR</w:t>
      </w:r>
    </w:p>
    <w:p w14:paraId="0B22602A" w14:textId="77777777" w:rsidR="00301F08" w:rsidRDefault="00301F08" w:rsidP="00301F08">
      <w:pPr>
        <w:rPr>
          <w:color w:val="000000"/>
        </w:rPr>
      </w:pPr>
    </w:p>
    <w:p w14:paraId="40CFE255" w14:textId="77777777" w:rsidR="00301F08" w:rsidRDefault="00301F08" w:rsidP="00301F08">
      <w:pPr>
        <w:rPr>
          <w:color w:val="000000"/>
        </w:rPr>
      </w:pPr>
    </w:p>
    <w:p w14:paraId="23CF2E61" w14:textId="77777777" w:rsidR="00301F08" w:rsidRPr="00E944FA" w:rsidRDefault="00C70F0F" w:rsidP="00301F08">
      <w:pPr>
        <w:rPr>
          <w:sz w:val="22"/>
        </w:rPr>
      </w:pPr>
      <w:r>
        <w:rPr>
          <w:color w:val="000000"/>
        </w:rPr>
        <w:t xml:space="preserve"> </w:t>
      </w:r>
      <w:r w:rsidR="00301F08" w:rsidRPr="00E944FA">
        <w:rPr>
          <w:sz w:val="22"/>
        </w:rPr>
        <w:t>La mayor frecuencia de lesiones de causa externa referida por los entrevistados en los menores de 6 años, fue incendio o quemaduras con del 0,4% (10), seguido de caída de altura 0,3% (7) seguido por accidente de tránsito con el 0,2% (6).</w:t>
      </w:r>
    </w:p>
    <w:p w14:paraId="5E32F256" w14:textId="77777777" w:rsidR="00301F08" w:rsidRPr="00E944FA" w:rsidRDefault="00301F08" w:rsidP="00301F08">
      <w:pPr>
        <w:rPr>
          <w:sz w:val="22"/>
        </w:rPr>
      </w:pPr>
    </w:p>
    <w:p w14:paraId="6AF35827" w14:textId="798B4379" w:rsidR="00900D5B" w:rsidRPr="00E944FA" w:rsidRDefault="00C70F0F" w:rsidP="00665D10">
      <w:pPr>
        <w:widowControl/>
        <w:pBdr>
          <w:top w:val="none" w:sz="0" w:space="0" w:color="000000"/>
          <w:left w:val="none" w:sz="0" w:space="0" w:color="000000"/>
          <w:bottom w:val="none" w:sz="0" w:space="0" w:color="000000"/>
          <w:right w:val="none" w:sz="0" w:space="0" w:color="000000"/>
          <w:between w:val="none" w:sz="0" w:space="0" w:color="000000"/>
        </w:pBdr>
        <w:spacing w:after="160"/>
        <w:ind w:firstLine="0"/>
        <w:jc w:val="left"/>
        <w:rPr>
          <w:sz w:val="22"/>
        </w:rPr>
      </w:pPr>
      <w:r w:rsidRPr="00E944FA">
        <w:rPr>
          <w:b/>
          <w:sz w:val="22"/>
        </w:rPr>
        <w:t>Tabla 1</w:t>
      </w:r>
      <w:r w:rsidR="00C06348" w:rsidRPr="00E944FA">
        <w:rPr>
          <w:b/>
          <w:sz w:val="22"/>
        </w:rPr>
        <w:t>2</w:t>
      </w:r>
      <w:r w:rsidRPr="00E944FA">
        <w:rPr>
          <w:b/>
          <w:sz w:val="22"/>
        </w:rPr>
        <w:t>:</w:t>
      </w:r>
      <w:r w:rsidRPr="00E944FA">
        <w:rPr>
          <w:sz w:val="22"/>
        </w:rPr>
        <w:t xml:space="preserve"> Lesiones por causas Externas referidos en menores de 6 en el último año. Barrios relevados de la CMR, enero-</w:t>
      </w:r>
      <w:r w:rsidR="004F08A8" w:rsidRPr="00E944FA">
        <w:rPr>
          <w:sz w:val="22"/>
        </w:rPr>
        <w:t xml:space="preserve">octubre </w:t>
      </w:r>
      <w:r w:rsidRPr="00E944FA">
        <w:rPr>
          <w:sz w:val="22"/>
        </w:rPr>
        <w:t>2019.  N</w:t>
      </w:r>
      <w:r w:rsidR="004F08A8" w:rsidRPr="00E944FA">
        <w:rPr>
          <w:sz w:val="22"/>
        </w:rPr>
        <w:t>=2573.</w:t>
      </w:r>
    </w:p>
    <w:p w14:paraId="1489B3AD" w14:textId="77777777" w:rsidR="004F08A8" w:rsidRDefault="004F08A8">
      <w:pPr>
        <w:ind w:firstLine="0"/>
      </w:pPr>
    </w:p>
    <w:tbl>
      <w:tblPr>
        <w:tblW w:w="5000" w:type="pct"/>
        <w:jc w:val="center"/>
        <w:tblCellMar>
          <w:left w:w="70" w:type="dxa"/>
          <w:right w:w="70" w:type="dxa"/>
        </w:tblCellMar>
        <w:tblLook w:val="04A0" w:firstRow="1" w:lastRow="0" w:firstColumn="1" w:lastColumn="0" w:noHBand="0" w:noVBand="1"/>
      </w:tblPr>
      <w:tblGrid>
        <w:gridCol w:w="4408"/>
        <w:gridCol w:w="1145"/>
        <w:gridCol w:w="1137"/>
        <w:gridCol w:w="1366"/>
        <w:gridCol w:w="1573"/>
      </w:tblGrid>
      <w:tr w:rsidR="004F08A8" w:rsidRPr="001A7F0A" w14:paraId="288DA18C" w14:textId="77777777" w:rsidTr="00EE6998">
        <w:trPr>
          <w:cantSplit/>
          <w:trHeight w:hRule="exact" w:val="974"/>
          <w:tblHeader/>
          <w:jc w:val="center"/>
        </w:trPr>
        <w:tc>
          <w:tcPr>
            <w:tcW w:w="1692"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01BEAFB8" w14:textId="0B2D8563" w:rsidR="004F08A8" w:rsidRPr="001A7F0A" w:rsidRDefault="004F08A8" w:rsidP="00301F08">
            <w:pPr>
              <w:spacing w:line="240" w:lineRule="auto"/>
              <w:jc w:val="center"/>
              <w:rPr>
                <w:rFonts w:eastAsia="Times New Roman" w:cs="Times New Roman"/>
                <w:color w:val="000000"/>
                <w:sz w:val="20"/>
                <w:szCs w:val="20"/>
              </w:rPr>
            </w:pPr>
            <w:bookmarkStart w:id="23" w:name="_GoBack" w:colFirst="0" w:colLast="5"/>
            <w:r w:rsidRPr="001A7F0A">
              <w:rPr>
                <w:rFonts w:eastAsia="Times New Roman" w:cs="Times New Roman"/>
                <w:color w:val="000000"/>
                <w:sz w:val="20"/>
                <w:szCs w:val="20"/>
              </w:rPr>
              <w:lastRenderedPageBreak/>
              <w:t>Barrio</w:t>
            </w:r>
          </w:p>
        </w:tc>
        <w:tc>
          <w:tcPr>
            <w:tcW w:w="735" w:type="pct"/>
            <w:tcBorders>
              <w:top w:val="single" w:sz="4" w:space="0" w:color="auto"/>
              <w:left w:val="nil"/>
              <w:bottom w:val="single" w:sz="4" w:space="0" w:color="auto"/>
              <w:right w:val="single" w:sz="4" w:space="0" w:color="auto"/>
            </w:tcBorders>
            <w:shd w:val="clear" w:color="000000" w:fill="FFF2CC"/>
            <w:vAlign w:val="center"/>
            <w:hideMark/>
          </w:tcPr>
          <w:p w14:paraId="0B67DE58" w14:textId="77777777" w:rsidR="004F08A8" w:rsidRPr="001A7F0A" w:rsidRDefault="004F08A8" w:rsidP="00786F8C">
            <w:pPr>
              <w:spacing w:line="240" w:lineRule="auto"/>
              <w:ind w:firstLine="0"/>
              <w:jc w:val="center"/>
              <w:rPr>
                <w:rFonts w:eastAsia="Times New Roman" w:cs="Times New Roman"/>
                <w:color w:val="000000"/>
                <w:sz w:val="20"/>
                <w:szCs w:val="20"/>
              </w:rPr>
            </w:pPr>
            <w:r w:rsidRPr="001A7F0A">
              <w:rPr>
                <w:rFonts w:eastAsia="Times New Roman" w:cs="Times New Roman"/>
                <w:color w:val="000000"/>
                <w:sz w:val="20"/>
                <w:szCs w:val="20"/>
              </w:rPr>
              <w:t>Accidente de tránsito</w:t>
            </w:r>
          </w:p>
        </w:tc>
        <w:tc>
          <w:tcPr>
            <w:tcW w:w="589" w:type="pct"/>
            <w:tcBorders>
              <w:top w:val="single" w:sz="4" w:space="0" w:color="auto"/>
              <w:left w:val="nil"/>
              <w:bottom w:val="single" w:sz="4" w:space="0" w:color="auto"/>
              <w:right w:val="single" w:sz="4" w:space="0" w:color="auto"/>
            </w:tcBorders>
            <w:shd w:val="clear" w:color="000000" w:fill="FFF2CC"/>
            <w:vAlign w:val="center"/>
            <w:hideMark/>
          </w:tcPr>
          <w:p w14:paraId="2AC987CD" w14:textId="77777777" w:rsidR="004F08A8" w:rsidRPr="001A7F0A" w:rsidRDefault="004F08A8" w:rsidP="00786F8C">
            <w:pPr>
              <w:spacing w:line="240" w:lineRule="auto"/>
              <w:ind w:firstLine="0"/>
              <w:jc w:val="center"/>
              <w:rPr>
                <w:rFonts w:eastAsia="Times New Roman" w:cs="Times New Roman"/>
                <w:color w:val="000000"/>
                <w:sz w:val="20"/>
                <w:szCs w:val="20"/>
              </w:rPr>
            </w:pPr>
            <w:r w:rsidRPr="001A7F0A">
              <w:rPr>
                <w:rFonts w:eastAsia="Times New Roman" w:cs="Times New Roman"/>
                <w:color w:val="000000"/>
                <w:sz w:val="20"/>
                <w:szCs w:val="20"/>
              </w:rPr>
              <w:t>Caída de altura</w:t>
            </w:r>
          </w:p>
        </w:tc>
        <w:tc>
          <w:tcPr>
            <w:tcW w:w="880" w:type="pct"/>
            <w:tcBorders>
              <w:top w:val="single" w:sz="4" w:space="0" w:color="auto"/>
              <w:left w:val="nil"/>
              <w:bottom w:val="single" w:sz="4" w:space="0" w:color="auto"/>
              <w:right w:val="single" w:sz="4" w:space="0" w:color="auto"/>
            </w:tcBorders>
            <w:shd w:val="clear" w:color="000000" w:fill="FFF2CC"/>
            <w:vAlign w:val="center"/>
            <w:hideMark/>
          </w:tcPr>
          <w:p w14:paraId="106B85EE" w14:textId="77777777" w:rsidR="004F08A8" w:rsidRPr="001A7F0A" w:rsidRDefault="004F08A8" w:rsidP="00786F8C">
            <w:pPr>
              <w:spacing w:line="240" w:lineRule="auto"/>
              <w:ind w:firstLine="0"/>
              <w:jc w:val="center"/>
              <w:rPr>
                <w:rFonts w:eastAsia="Times New Roman" w:cs="Times New Roman"/>
                <w:color w:val="000000"/>
                <w:sz w:val="20"/>
                <w:szCs w:val="20"/>
              </w:rPr>
            </w:pPr>
            <w:r w:rsidRPr="001A7F0A">
              <w:rPr>
                <w:rFonts w:eastAsia="Times New Roman" w:cs="Times New Roman"/>
                <w:color w:val="000000"/>
                <w:sz w:val="20"/>
                <w:szCs w:val="20"/>
              </w:rPr>
              <w:t>Incendio o quemaduras</w:t>
            </w:r>
          </w:p>
        </w:tc>
        <w:tc>
          <w:tcPr>
            <w:tcW w:w="1103" w:type="pct"/>
            <w:tcBorders>
              <w:top w:val="single" w:sz="4" w:space="0" w:color="auto"/>
              <w:left w:val="nil"/>
              <w:bottom w:val="single" w:sz="4" w:space="0" w:color="auto"/>
              <w:right w:val="single" w:sz="4" w:space="0" w:color="auto"/>
            </w:tcBorders>
            <w:shd w:val="clear" w:color="000000" w:fill="FFF2CC"/>
            <w:vAlign w:val="center"/>
            <w:hideMark/>
          </w:tcPr>
          <w:p w14:paraId="07FDA41D" w14:textId="77777777" w:rsidR="004F08A8" w:rsidRPr="001A7F0A" w:rsidRDefault="004F08A8" w:rsidP="00786F8C">
            <w:pPr>
              <w:spacing w:line="240" w:lineRule="auto"/>
              <w:ind w:firstLine="0"/>
              <w:jc w:val="center"/>
              <w:rPr>
                <w:rFonts w:eastAsia="Times New Roman" w:cs="Times New Roman"/>
                <w:color w:val="000000"/>
                <w:sz w:val="20"/>
                <w:szCs w:val="20"/>
              </w:rPr>
            </w:pPr>
            <w:r w:rsidRPr="001A7F0A">
              <w:rPr>
                <w:rFonts w:eastAsia="Times New Roman" w:cs="Times New Roman"/>
                <w:color w:val="000000"/>
                <w:sz w:val="20"/>
                <w:szCs w:val="20"/>
              </w:rPr>
              <w:t>Accidente por inmersión</w:t>
            </w:r>
          </w:p>
        </w:tc>
      </w:tr>
      <w:bookmarkEnd w:id="23"/>
      <w:tr w:rsidR="004F08A8" w:rsidRPr="001A7F0A" w14:paraId="562ECBE6"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C7B521C"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1 de Octubre (Lomas de Zamora)</w:t>
            </w:r>
          </w:p>
        </w:tc>
        <w:tc>
          <w:tcPr>
            <w:tcW w:w="735" w:type="pct"/>
            <w:tcBorders>
              <w:top w:val="nil"/>
              <w:left w:val="nil"/>
              <w:bottom w:val="single" w:sz="4" w:space="0" w:color="auto"/>
              <w:right w:val="single" w:sz="4" w:space="0" w:color="auto"/>
            </w:tcBorders>
            <w:shd w:val="clear" w:color="auto" w:fill="auto"/>
            <w:noWrap/>
            <w:vAlign w:val="center"/>
            <w:hideMark/>
          </w:tcPr>
          <w:p w14:paraId="0209E0F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0091FC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0914F548"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0412896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05F935D"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C512453"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2 de mayo (Lomas de Zamora)</w:t>
            </w:r>
          </w:p>
        </w:tc>
        <w:tc>
          <w:tcPr>
            <w:tcW w:w="735" w:type="pct"/>
            <w:tcBorders>
              <w:top w:val="nil"/>
              <w:left w:val="nil"/>
              <w:bottom w:val="single" w:sz="4" w:space="0" w:color="auto"/>
              <w:right w:val="single" w:sz="4" w:space="0" w:color="auto"/>
            </w:tcBorders>
            <w:shd w:val="clear" w:color="auto" w:fill="auto"/>
            <w:noWrap/>
            <w:vAlign w:val="center"/>
            <w:hideMark/>
          </w:tcPr>
          <w:p w14:paraId="2FEB61F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741A041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251BCB8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365B1C75"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2F5B931" w14:textId="77777777" w:rsidTr="00E944FA">
        <w:trPr>
          <w:trHeight w:hRule="exact" w:val="625"/>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4DA52EFA"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24 viviendas (Lomas de Zamora)</w:t>
            </w:r>
          </w:p>
        </w:tc>
        <w:tc>
          <w:tcPr>
            <w:tcW w:w="735" w:type="pct"/>
            <w:tcBorders>
              <w:top w:val="nil"/>
              <w:left w:val="nil"/>
              <w:bottom w:val="single" w:sz="4" w:space="0" w:color="auto"/>
              <w:right w:val="single" w:sz="4" w:space="0" w:color="auto"/>
            </w:tcBorders>
            <w:shd w:val="clear" w:color="auto" w:fill="auto"/>
            <w:noWrap/>
            <w:vAlign w:val="center"/>
            <w:hideMark/>
          </w:tcPr>
          <w:p w14:paraId="5507FEA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2EC0C0E8"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3B54A4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CEEDF3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30A66BBF" w14:textId="77777777" w:rsidTr="00E944FA">
        <w:trPr>
          <w:trHeight w:hRule="exact" w:val="642"/>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27CE4479"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9 de Enero /Los Álamos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2F25AE3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399B08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4A14F8A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19372C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7AC34288"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B804E1B"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Barrio Libertad (Cañuelas)</w:t>
            </w:r>
          </w:p>
        </w:tc>
        <w:tc>
          <w:tcPr>
            <w:tcW w:w="735" w:type="pct"/>
            <w:tcBorders>
              <w:top w:val="nil"/>
              <w:left w:val="nil"/>
              <w:bottom w:val="single" w:sz="4" w:space="0" w:color="auto"/>
              <w:right w:val="single" w:sz="4" w:space="0" w:color="auto"/>
            </w:tcBorders>
            <w:shd w:val="clear" w:color="auto" w:fill="auto"/>
            <w:noWrap/>
            <w:vAlign w:val="center"/>
            <w:hideMark/>
          </w:tcPr>
          <w:p w14:paraId="04416C35"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CE0CD3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72ED93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1B50832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00943C0"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2FDC486E"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Barrio Nuevo (Merlo)</w:t>
            </w:r>
          </w:p>
        </w:tc>
        <w:tc>
          <w:tcPr>
            <w:tcW w:w="735" w:type="pct"/>
            <w:tcBorders>
              <w:top w:val="nil"/>
              <w:left w:val="nil"/>
              <w:bottom w:val="single" w:sz="4" w:space="0" w:color="auto"/>
              <w:right w:val="single" w:sz="4" w:space="0" w:color="auto"/>
            </w:tcBorders>
            <w:shd w:val="clear" w:color="auto" w:fill="auto"/>
            <w:noWrap/>
            <w:vAlign w:val="center"/>
            <w:hideMark/>
          </w:tcPr>
          <w:p w14:paraId="30D3628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3877A238"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0,60%</w:t>
            </w:r>
          </w:p>
        </w:tc>
        <w:tc>
          <w:tcPr>
            <w:tcW w:w="880" w:type="pct"/>
            <w:tcBorders>
              <w:top w:val="nil"/>
              <w:left w:val="nil"/>
              <w:bottom w:val="single" w:sz="4" w:space="0" w:color="auto"/>
              <w:right w:val="single" w:sz="4" w:space="0" w:color="auto"/>
            </w:tcBorders>
            <w:shd w:val="clear" w:color="auto" w:fill="auto"/>
            <w:noWrap/>
            <w:vAlign w:val="center"/>
            <w:hideMark/>
          </w:tcPr>
          <w:p w14:paraId="60971BA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0,60%</w:t>
            </w:r>
          </w:p>
        </w:tc>
        <w:tc>
          <w:tcPr>
            <w:tcW w:w="1103" w:type="pct"/>
            <w:tcBorders>
              <w:top w:val="nil"/>
              <w:left w:val="nil"/>
              <w:bottom w:val="single" w:sz="4" w:space="0" w:color="auto"/>
              <w:right w:val="single" w:sz="4" w:space="0" w:color="auto"/>
            </w:tcBorders>
            <w:shd w:val="clear" w:color="auto" w:fill="auto"/>
            <w:noWrap/>
            <w:vAlign w:val="center"/>
            <w:hideMark/>
          </w:tcPr>
          <w:p w14:paraId="200BCEC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D54ABAE"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E78D5D8"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Barrio Obrero (CABA)</w:t>
            </w:r>
          </w:p>
        </w:tc>
        <w:tc>
          <w:tcPr>
            <w:tcW w:w="735" w:type="pct"/>
            <w:tcBorders>
              <w:top w:val="nil"/>
              <w:left w:val="nil"/>
              <w:bottom w:val="single" w:sz="4" w:space="0" w:color="auto"/>
              <w:right w:val="single" w:sz="4" w:space="0" w:color="auto"/>
            </w:tcBorders>
            <w:shd w:val="clear" w:color="auto" w:fill="auto"/>
            <w:noWrap/>
            <w:vAlign w:val="center"/>
            <w:hideMark/>
          </w:tcPr>
          <w:p w14:paraId="7CB0A90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2051EFE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026E245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56754E9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5E6130D8"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644B2539"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Bermejo (CABA)</w:t>
            </w:r>
          </w:p>
        </w:tc>
        <w:tc>
          <w:tcPr>
            <w:tcW w:w="735" w:type="pct"/>
            <w:tcBorders>
              <w:top w:val="nil"/>
              <w:left w:val="nil"/>
              <w:bottom w:val="single" w:sz="4" w:space="0" w:color="auto"/>
              <w:right w:val="single" w:sz="4" w:space="0" w:color="auto"/>
            </w:tcBorders>
            <w:shd w:val="clear" w:color="auto" w:fill="auto"/>
            <w:noWrap/>
            <w:vAlign w:val="center"/>
            <w:hideMark/>
          </w:tcPr>
          <w:p w14:paraId="31DFF50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77C7773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A354DE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9F95C9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439378C3"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19BA636"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El Ombú (Cañuelas)</w:t>
            </w:r>
          </w:p>
        </w:tc>
        <w:tc>
          <w:tcPr>
            <w:tcW w:w="735" w:type="pct"/>
            <w:tcBorders>
              <w:top w:val="nil"/>
              <w:left w:val="nil"/>
              <w:bottom w:val="single" w:sz="4" w:space="0" w:color="auto"/>
              <w:right w:val="single" w:sz="4" w:space="0" w:color="auto"/>
            </w:tcBorders>
            <w:shd w:val="clear" w:color="auto" w:fill="auto"/>
            <w:noWrap/>
            <w:vAlign w:val="center"/>
            <w:hideMark/>
          </w:tcPr>
          <w:p w14:paraId="5B4433F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628B70F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1A797778"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0E8F1D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76A53A62"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0B8CA3A4"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El Parque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2D6E730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014023C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3,70%</w:t>
            </w:r>
          </w:p>
        </w:tc>
        <w:tc>
          <w:tcPr>
            <w:tcW w:w="880" w:type="pct"/>
            <w:tcBorders>
              <w:top w:val="nil"/>
              <w:left w:val="nil"/>
              <w:bottom w:val="single" w:sz="4" w:space="0" w:color="auto"/>
              <w:right w:val="single" w:sz="4" w:space="0" w:color="auto"/>
            </w:tcBorders>
            <w:shd w:val="clear" w:color="auto" w:fill="auto"/>
            <w:noWrap/>
            <w:vAlign w:val="center"/>
            <w:hideMark/>
          </w:tcPr>
          <w:p w14:paraId="14A90DF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3,70%</w:t>
            </w:r>
          </w:p>
        </w:tc>
        <w:tc>
          <w:tcPr>
            <w:tcW w:w="1103" w:type="pct"/>
            <w:tcBorders>
              <w:top w:val="nil"/>
              <w:left w:val="nil"/>
              <w:bottom w:val="single" w:sz="4" w:space="0" w:color="auto"/>
              <w:right w:val="single" w:sz="4" w:space="0" w:color="auto"/>
            </w:tcBorders>
            <w:shd w:val="clear" w:color="auto" w:fill="auto"/>
            <w:noWrap/>
            <w:vAlign w:val="center"/>
            <w:hideMark/>
          </w:tcPr>
          <w:p w14:paraId="3488941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F52A771"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3BBDC0DE"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Galponeros (CABA)</w:t>
            </w:r>
          </w:p>
        </w:tc>
        <w:tc>
          <w:tcPr>
            <w:tcW w:w="735" w:type="pct"/>
            <w:tcBorders>
              <w:top w:val="nil"/>
              <w:left w:val="nil"/>
              <w:bottom w:val="single" w:sz="4" w:space="0" w:color="auto"/>
              <w:right w:val="single" w:sz="4" w:space="0" w:color="auto"/>
            </w:tcBorders>
            <w:shd w:val="clear" w:color="auto" w:fill="auto"/>
            <w:noWrap/>
            <w:vAlign w:val="center"/>
            <w:hideMark/>
          </w:tcPr>
          <w:p w14:paraId="799CDF3C"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122CF1C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6144A8EC"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2115E1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926558A"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0EE57CA"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Guemes</w:t>
            </w:r>
            <w:proofErr w:type="spellEnd"/>
            <w:r w:rsidRPr="001A7F0A">
              <w:rPr>
                <w:rFonts w:eastAsia="Times New Roman" w:cs="Times New Roman"/>
                <w:color w:val="000000"/>
                <w:sz w:val="20"/>
                <w:szCs w:val="20"/>
              </w:rPr>
              <w:t xml:space="preserve"> (Ezeiza)</w:t>
            </w:r>
          </w:p>
        </w:tc>
        <w:tc>
          <w:tcPr>
            <w:tcW w:w="735" w:type="pct"/>
            <w:tcBorders>
              <w:top w:val="nil"/>
              <w:left w:val="nil"/>
              <w:bottom w:val="single" w:sz="4" w:space="0" w:color="auto"/>
              <w:right w:val="single" w:sz="4" w:space="0" w:color="auto"/>
            </w:tcBorders>
            <w:shd w:val="clear" w:color="auto" w:fill="auto"/>
            <w:noWrap/>
            <w:vAlign w:val="center"/>
            <w:hideMark/>
          </w:tcPr>
          <w:p w14:paraId="02AAD40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6E93C1F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58502E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ACCAD6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243A402"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3EAC5D49"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Isla Maciel (Avellaneda)</w:t>
            </w:r>
          </w:p>
        </w:tc>
        <w:tc>
          <w:tcPr>
            <w:tcW w:w="735" w:type="pct"/>
            <w:tcBorders>
              <w:top w:val="nil"/>
              <w:left w:val="nil"/>
              <w:bottom w:val="single" w:sz="4" w:space="0" w:color="auto"/>
              <w:right w:val="single" w:sz="4" w:space="0" w:color="auto"/>
            </w:tcBorders>
            <w:shd w:val="clear" w:color="auto" w:fill="auto"/>
            <w:noWrap/>
            <w:vAlign w:val="center"/>
            <w:hideMark/>
          </w:tcPr>
          <w:p w14:paraId="75837E4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091466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1,38%</w:t>
            </w:r>
          </w:p>
        </w:tc>
        <w:tc>
          <w:tcPr>
            <w:tcW w:w="880" w:type="pct"/>
            <w:tcBorders>
              <w:top w:val="nil"/>
              <w:left w:val="nil"/>
              <w:bottom w:val="single" w:sz="4" w:space="0" w:color="auto"/>
              <w:right w:val="single" w:sz="4" w:space="0" w:color="auto"/>
            </w:tcBorders>
            <w:shd w:val="clear" w:color="auto" w:fill="auto"/>
            <w:noWrap/>
            <w:vAlign w:val="center"/>
            <w:hideMark/>
          </w:tcPr>
          <w:p w14:paraId="7047F0E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12F1D34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481B42CB"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7F7D0AB"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 Lonja (Lomas de Zamora)</w:t>
            </w:r>
          </w:p>
        </w:tc>
        <w:tc>
          <w:tcPr>
            <w:tcW w:w="735" w:type="pct"/>
            <w:tcBorders>
              <w:top w:val="nil"/>
              <w:left w:val="nil"/>
              <w:bottom w:val="single" w:sz="4" w:space="0" w:color="auto"/>
              <w:right w:val="single" w:sz="4" w:space="0" w:color="auto"/>
            </w:tcBorders>
            <w:shd w:val="clear" w:color="auto" w:fill="auto"/>
            <w:noWrap/>
            <w:vAlign w:val="center"/>
            <w:hideMark/>
          </w:tcPr>
          <w:p w14:paraId="590D183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13,51%</w:t>
            </w:r>
          </w:p>
        </w:tc>
        <w:tc>
          <w:tcPr>
            <w:tcW w:w="589" w:type="pct"/>
            <w:tcBorders>
              <w:top w:val="nil"/>
              <w:left w:val="nil"/>
              <w:bottom w:val="single" w:sz="4" w:space="0" w:color="auto"/>
              <w:right w:val="single" w:sz="4" w:space="0" w:color="auto"/>
            </w:tcBorders>
            <w:shd w:val="clear" w:color="auto" w:fill="auto"/>
            <w:noWrap/>
            <w:vAlign w:val="center"/>
            <w:hideMark/>
          </w:tcPr>
          <w:p w14:paraId="66661B7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7638943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739C23E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5E2CB51E"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8DE3DC9"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 Porteña II (Ezeiza)</w:t>
            </w:r>
          </w:p>
        </w:tc>
        <w:tc>
          <w:tcPr>
            <w:tcW w:w="735" w:type="pct"/>
            <w:tcBorders>
              <w:top w:val="nil"/>
              <w:left w:val="nil"/>
              <w:bottom w:val="single" w:sz="4" w:space="0" w:color="auto"/>
              <w:right w:val="single" w:sz="4" w:space="0" w:color="auto"/>
            </w:tcBorders>
            <w:shd w:val="clear" w:color="auto" w:fill="auto"/>
            <w:noWrap/>
            <w:vAlign w:val="center"/>
            <w:hideMark/>
          </w:tcPr>
          <w:p w14:paraId="60F5324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39964A4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55AC24A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807614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3996F2C8"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42D1A2F"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 Toma (Merlo)</w:t>
            </w:r>
          </w:p>
        </w:tc>
        <w:tc>
          <w:tcPr>
            <w:tcW w:w="735" w:type="pct"/>
            <w:tcBorders>
              <w:top w:val="nil"/>
              <w:left w:val="nil"/>
              <w:bottom w:val="single" w:sz="4" w:space="0" w:color="auto"/>
              <w:right w:val="single" w:sz="4" w:space="0" w:color="auto"/>
            </w:tcBorders>
            <w:shd w:val="clear" w:color="auto" w:fill="auto"/>
            <w:noWrap/>
            <w:vAlign w:val="center"/>
            <w:hideMark/>
          </w:tcPr>
          <w:p w14:paraId="0152788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0,83%</w:t>
            </w:r>
          </w:p>
        </w:tc>
        <w:tc>
          <w:tcPr>
            <w:tcW w:w="589" w:type="pct"/>
            <w:tcBorders>
              <w:top w:val="nil"/>
              <w:left w:val="nil"/>
              <w:bottom w:val="single" w:sz="4" w:space="0" w:color="auto"/>
              <w:right w:val="single" w:sz="4" w:space="0" w:color="auto"/>
            </w:tcBorders>
            <w:shd w:val="clear" w:color="auto" w:fill="auto"/>
            <w:noWrap/>
            <w:vAlign w:val="center"/>
            <w:hideMark/>
          </w:tcPr>
          <w:p w14:paraId="53E7C69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7DBB458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146674A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7BC5452"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6EECA5A4"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 Unión II (Cañuelas)</w:t>
            </w:r>
          </w:p>
        </w:tc>
        <w:tc>
          <w:tcPr>
            <w:tcW w:w="735" w:type="pct"/>
            <w:tcBorders>
              <w:top w:val="nil"/>
              <w:left w:val="nil"/>
              <w:bottom w:val="single" w:sz="4" w:space="0" w:color="auto"/>
              <w:right w:val="single" w:sz="4" w:space="0" w:color="auto"/>
            </w:tcBorders>
            <w:shd w:val="clear" w:color="auto" w:fill="auto"/>
            <w:noWrap/>
            <w:vAlign w:val="center"/>
            <w:hideMark/>
          </w:tcPr>
          <w:p w14:paraId="079B6D4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70BB270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1,54%</w:t>
            </w:r>
          </w:p>
        </w:tc>
        <w:tc>
          <w:tcPr>
            <w:tcW w:w="880" w:type="pct"/>
            <w:tcBorders>
              <w:top w:val="nil"/>
              <w:left w:val="nil"/>
              <w:bottom w:val="single" w:sz="4" w:space="0" w:color="auto"/>
              <w:right w:val="single" w:sz="4" w:space="0" w:color="auto"/>
            </w:tcBorders>
            <w:shd w:val="clear" w:color="auto" w:fill="auto"/>
            <w:noWrap/>
            <w:vAlign w:val="center"/>
            <w:hideMark/>
          </w:tcPr>
          <w:p w14:paraId="56D4741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F771DB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65DA34E"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EFB88E8"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Laguna Brava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72C0122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4D86701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987D6B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B43E2B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3E451A57"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314EC7D8"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Las Flores (Merlo)</w:t>
            </w:r>
          </w:p>
        </w:tc>
        <w:tc>
          <w:tcPr>
            <w:tcW w:w="735" w:type="pct"/>
            <w:tcBorders>
              <w:top w:val="nil"/>
              <w:left w:val="nil"/>
              <w:bottom w:val="single" w:sz="4" w:space="0" w:color="auto"/>
              <w:right w:val="single" w:sz="4" w:space="0" w:color="auto"/>
            </w:tcBorders>
            <w:shd w:val="clear" w:color="auto" w:fill="auto"/>
            <w:noWrap/>
            <w:vAlign w:val="center"/>
            <w:hideMark/>
          </w:tcPr>
          <w:p w14:paraId="3655818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0956427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4D410B8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5363FF4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17BE1B4C"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C104362"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Las Torres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16F6074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77811DC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2F6155D5"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42698B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B6181D8"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329F285"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Libertad (Cañuelas)</w:t>
            </w:r>
          </w:p>
        </w:tc>
        <w:tc>
          <w:tcPr>
            <w:tcW w:w="735" w:type="pct"/>
            <w:tcBorders>
              <w:top w:val="nil"/>
              <w:left w:val="nil"/>
              <w:bottom w:val="single" w:sz="4" w:space="0" w:color="auto"/>
              <w:right w:val="single" w:sz="4" w:space="0" w:color="auto"/>
            </w:tcBorders>
            <w:shd w:val="clear" w:color="auto" w:fill="auto"/>
            <w:noWrap/>
            <w:vAlign w:val="center"/>
            <w:hideMark/>
          </w:tcPr>
          <w:p w14:paraId="2B49D63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4AAB1BF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215DEBB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B27A7E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779FB17"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6BEFA08"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 xml:space="preserve">Los </w:t>
            </w:r>
            <w:proofErr w:type="spellStart"/>
            <w:r w:rsidRPr="001A7F0A">
              <w:rPr>
                <w:rFonts w:eastAsia="Times New Roman" w:cs="Times New Roman"/>
                <w:color w:val="000000"/>
                <w:sz w:val="20"/>
                <w:szCs w:val="20"/>
              </w:rPr>
              <w:t>Piletones</w:t>
            </w:r>
            <w:proofErr w:type="spellEnd"/>
            <w:r w:rsidRPr="001A7F0A">
              <w:rPr>
                <w:rFonts w:eastAsia="Times New Roman" w:cs="Times New Roman"/>
                <w:color w:val="000000"/>
                <w:sz w:val="20"/>
                <w:szCs w:val="20"/>
              </w:rPr>
              <w:t xml:space="preserve">  (CABA)</w:t>
            </w:r>
          </w:p>
        </w:tc>
        <w:tc>
          <w:tcPr>
            <w:tcW w:w="735" w:type="pct"/>
            <w:tcBorders>
              <w:top w:val="nil"/>
              <w:left w:val="nil"/>
              <w:bottom w:val="single" w:sz="4" w:space="0" w:color="auto"/>
              <w:right w:val="single" w:sz="4" w:space="0" w:color="auto"/>
            </w:tcBorders>
            <w:shd w:val="clear" w:color="auto" w:fill="auto"/>
            <w:noWrap/>
            <w:vAlign w:val="center"/>
            <w:hideMark/>
          </w:tcPr>
          <w:p w14:paraId="778AF87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296A0AB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1,04%</w:t>
            </w:r>
          </w:p>
        </w:tc>
        <w:tc>
          <w:tcPr>
            <w:tcW w:w="880" w:type="pct"/>
            <w:tcBorders>
              <w:top w:val="nil"/>
              <w:left w:val="nil"/>
              <w:bottom w:val="single" w:sz="4" w:space="0" w:color="auto"/>
              <w:right w:val="single" w:sz="4" w:space="0" w:color="auto"/>
            </w:tcBorders>
            <w:shd w:val="clear" w:color="auto" w:fill="auto"/>
            <w:noWrap/>
            <w:vAlign w:val="center"/>
            <w:hideMark/>
          </w:tcPr>
          <w:p w14:paraId="6429546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09822C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1E56B5C"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6DA264F0"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 xml:space="preserve">Los </w:t>
            </w:r>
            <w:proofErr w:type="spellStart"/>
            <w:r w:rsidRPr="001A7F0A">
              <w:rPr>
                <w:rFonts w:eastAsia="Times New Roman" w:cs="Times New Roman"/>
                <w:color w:val="000000"/>
                <w:sz w:val="20"/>
                <w:szCs w:val="20"/>
              </w:rPr>
              <w:t>Piletones</w:t>
            </w:r>
            <w:proofErr w:type="spellEnd"/>
            <w:r w:rsidRPr="001A7F0A">
              <w:rPr>
                <w:rFonts w:eastAsia="Times New Roman" w:cs="Times New Roman"/>
                <w:color w:val="000000"/>
                <w:sz w:val="20"/>
                <w:szCs w:val="20"/>
              </w:rPr>
              <w:t xml:space="preserve"> II (CABA)</w:t>
            </w:r>
          </w:p>
        </w:tc>
        <w:tc>
          <w:tcPr>
            <w:tcW w:w="735" w:type="pct"/>
            <w:tcBorders>
              <w:top w:val="nil"/>
              <w:left w:val="nil"/>
              <w:bottom w:val="single" w:sz="4" w:space="0" w:color="auto"/>
              <w:right w:val="single" w:sz="4" w:space="0" w:color="auto"/>
            </w:tcBorders>
            <w:shd w:val="clear" w:color="auto" w:fill="auto"/>
            <w:noWrap/>
            <w:vAlign w:val="center"/>
            <w:hideMark/>
          </w:tcPr>
          <w:p w14:paraId="0A07454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3F857A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7948873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6E788DD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50E104B"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9547991"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Luján (Ezeiza)</w:t>
            </w:r>
          </w:p>
        </w:tc>
        <w:tc>
          <w:tcPr>
            <w:tcW w:w="735" w:type="pct"/>
            <w:tcBorders>
              <w:top w:val="nil"/>
              <w:left w:val="nil"/>
              <w:bottom w:val="single" w:sz="4" w:space="0" w:color="auto"/>
              <w:right w:val="single" w:sz="4" w:space="0" w:color="auto"/>
            </w:tcBorders>
            <w:shd w:val="clear" w:color="auto" w:fill="auto"/>
            <w:noWrap/>
            <w:vAlign w:val="center"/>
            <w:hideMark/>
          </w:tcPr>
          <w:p w14:paraId="38C8A50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046F4F5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3D428721"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0,74%</w:t>
            </w:r>
          </w:p>
        </w:tc>
        <w:tc>
          <w:tcPr>
            <w:tcW w:w="1103" w:type="pct"/>
            <w:tcBorders>
              <w:top w:val="nil"/>
              <w:left w:val="nil"/>
              <w:bottom w:val="single" w:sz="4" w:space="0" w:color="auto"/>
              <w:right w:val="single" w:sz="4" w:space="0" w:color="auto"/>
            </w:tcBorders>
            <w:shd w:val="clear" w:color="auto" w:fill="auto"/>
            <w:noWrap/>
            <w:vAlign w:val="center"/>
            <w:hideMark/>
          </w:tcPr>
          <w:p w14:paraId="3C46D96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7E20302E"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0793CD9D"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Maria</w:t>
            </w:r>
            <w:proofErr w:type="spellEnd"/>
            <w:r w:rsidRPr="001A7F0A">
              <w:rPr>
                <w:rFonts w:eastAsia="Times New Roman" w:cs="Times New Roman"/>
                <w:color w:val="000000"/>
                <w:sz w:val="20"/>
                <w:szCs w:val="20"/>
              </w:rPr>
              <w:t xml:space="preserve"> Auxiliadora (CABA)</w:t>
            </w:r>
          </w:p>
        </w:tc>
        <w:tc>
          <w:tcPr>
            <w:tcW w:w="735" w:type="pct"/>
            <w:tcBorders>
              <w:top w:val="nil"/>
              <w:left w:val="nil"/>
              <w:bottom w:val="single" w:sz="4" w:space="0" w:color="auto"/>
              <w:right w:val="single" w:sz="4" w:space="0" w:color="auto"/>
            </w:tcBorders>
            <w:shd w:val="clear" w:color="auto" w:fill="auto"/>
            <w:noWrap/>
            <w:vAlign w:val="center"/>
            <w:hideMark/>
          </w:tcPr>
          <w:p w14:paraId="4C43B4A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C75985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3,13%</w:t>
            </w:r>
          </w:p>
        </w:tc>
        <w:tc>
          <w:tcPr>
            <w:tcW w:w="880" w:type="pct"/>
            <w:tcBorders>
              <w:top w:val="nil"/>
              <w:left w:val="nil"/>
              <w:bottom w:val="single" w:sz="4" w:space="0" w:color="auto"/>
              <w:right w:val="single" w:sz="4" w:space="0" w:color="auto"/>
            </w:tcBorders>
            <w:shd w:val="clear" w:color="auto" w:fill="auto"/>
            <w:noWrap/>
            <w:vAlign w:val="center"/>
            <w:hideMark/>
          </w:tcPr>
          <w:p w14:paraId="26616A1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6,25%</w:t>
            </w:r>
          </w:p>
        </w:tc>
        <w:tc>
          <w:tcPr>
            <w:tcW w:w="1103" w:type="pct"/>
            <w:tcBorders>
              <w:top w:val="nil"/>
              <w:left w:val="nil"/>
              <w:bottom w:val="single" w:sz="4" w:space="0" w:color="auto"/>
              <w:right w:val="single" w:sz="4" w:space="0" w:color="auto"/>
            </w:tcBorders>
            <w:shd w:val="clear" w:color="auto" w:fill="auto"/>
            <w:noWrap/>
            <w:vAlign w:val="center"/>
            <w:hideMark/>
          </w:tcPr>
          <w:p w14:paraId="022FC83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3E0695DF"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33E544E2"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Recoleta I (La Matanza)</w:t>
            </w:r>
          </w:p>
        </w:tc>
        <w:tc>
          <w:tcPr>
            <w:tcW w:w="735" w:type="pct"/>
            <w:tcBorders>
              <w:top w:val="nil"/>
              <w:left w:val="nil"/>
              <w:bottom w:val="single" w:sz="4" w:space="0" w:color="auto"/>
              <w:right w:val="single" w:sz="4" w:space="0" w:color="auto"/>
            </w:tcBorders>
            <w:shd w:val="clear" w:color="auto" w:fill="auto"/>
            <w:noWrap/>
            <w:vAlign w:val="center"/>
            <w:hideMark/>
          </w:tcPr>
          <w:p w14:paraId="7D90595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25C0EE4C"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7582A55C"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300EACC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7E926610"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1DB06E78"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Sakura</w:t>
            </w:r>
            <w:proofErr w:type="spellEnd"/>
            <w:r w:rsidRPr="001A7F0A">
              <w:rPr>
                <w:rFonts w:eastAsia="Times New Roman" w:cs="Times New Roman"/>
                <w:color w:val="000000"/>
                <w:sz w:val="20"/>
                <w:szCs w:val="20"/>
              </w:rPr>
              <w:t xml:space="preserve"> (</w:t>
            </w:r>
            <w:proofErr w:type="spellStart"/>
            <w:r w:rsidRPr="001A7F0A">
              <w:rPr>
                <w:rFonts w:eastAsia="Times New Roman" w:cs="Times New Roman"/>
                <w:color w:val="000000"/>
                <w:sz w:val="20"/>
                <w:szCs w:val="20"/>
              </w:rPr>
              <w:t>Alte</w:t>
            </w:r>
            <w:proofErr w:type="spellEnd"/>
            <w:r w:rsidRPr="001A7F0A">
              <w:rPr>
                <w:rFonts w:eastAsia="Times New Roman" w:cs="Times New Roman"/>
                <w:color w:val="000000"/>
                <w:sz w:val="20"/>
                <w:szCs w:val="20"/>
              </w:rPr>
              <w:t>. Brown)</w:t>
            </w:r>
          </w:p>
        </w:tc>
        <w:tc>
          <w:tcPr>
            <w:tcW w:w="735" w:type="pct"/>
            <w:tcBorders>
              <w:top w:val="nil"/>
              <w:left w:val="nil"/>
              <w:bottom w:val="single" w:sz="4" w:space="0" w:color="auto"/>
              <w:right w:val="single" w:sz="4" w:space="0" w:color="auto"/>
            </w:tcBorders>
            <w:shd w:val="clear" w:color="auto" w:fill="auto"/>
            <w:noWrap/>
            <w:vAlign w:val="center"/>
            <w:hideMark/>
          </w:tcPr>
          <w:p w14:paraId="148ABEF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29CE087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6027902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68D2EB1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40476158"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1626C4C"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San Andrés (Ezeiza)</w:t>
            </w:r>
          </w:p>
        </w:tc>
        <w:tc>
          <w:tcPr>
            <w:tcW w:w="735" w:type="pct"/>
            <w:tcBorders>
              <w:top w:val="nil"/>
              <w:left w:val="nil"/>
              <w:bottom w:val="single" w:sz="4" w:space="0" w:color="auto"/>
              <w:right w:val="single" w:sz="4" w:space="0" w:color="auto"/>
            </w:tcBorders>
            <w:shd w:val="clear" w:color="auto" w:fill="auto"/>
            <w:noWrap/>
            <w:vAlign w:val="center"/>
            <w:hideMark/>
          </w:tcPr>
          <w:p w14:paraId="47E17C7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306FFD4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53545ACB"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1,31%</w:t>
            </w:r>
          </w:p>
        </w:tc>
        <w:tc>
          <w:tcPr>
            <w:tcW w:w="1103" w:type="pct"/>
            <w:tcBorders>
              <w:top w:val="nil"/>
              <w:left w:val="nil"/>
              <w:bottom w:val="single" w:sz="4" w:space="0" w:color="auto"/>
              <w:right w:val="single" w:sz="4" w:space="0" w:color="auto"/>
            </w:tcBorders>
            <w:shd w:val="clear" w:color="auto" w:fill="auto"/>
            <w:noWrap/>
            <w:vAlign w:val="center"/>
            <w:hideMark/>
          </w:tcPr>
          <w:p w14:paraId="662BFAF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4FB42C40"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0D6E4CBB"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San Carlos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5B825AA7"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32DCA5C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55D015A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2,22%</w:t>
            </w:r>
          </w:p>
        </w:tc>
        <w:tc>
          <w:tcPr>
            <w:tcW w:w="1103" w:type="pct"/>
            <w:tcBorders>
              <w:top w:val="nil"/>
              <w:left w:val="nil"/>
              <w:bottom w:val="single" w:sz="4" w:space="0" w:color="auto"/>
              <w:right w:val="single" w:sz="4" w:space="0" w:color="auto"/>
            </w:tcBorders>
            <w:shd w:val="clear" w:color="auto" w:fill="auto"/>
            <w:noWrap/>
            <w:vAlign w:val="center"/>
            <w:hideMark/>
          </w:tcPr>
          <w:p w14:paraId="2ADBDCD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198D5456" w14:textId="77777777" w:rsidTr="00E944FA">
        <w:trPr>
          <w:trHeight w:hRule="exact" w:val="649"/>
          <w:jc w:val="center"/>
        </w:trPr>
        <w:tc>
          <w:tcPr>
            <w:tcW w:w="1692" w:type="pct"/>
            <w:tcBorders>
              <w:top w:val="nil"/>
              <w:left w:val="single" w:sz="4" w:space="0" w:color="auto"/>
              <w:bottom w:val="single" w:sz="4" w:space="0" w:color="auto"/>
              <w:right w:val="single" w:sz="4" w:space="0" w:color="auto"/>
            </w:tcBorders>
            <w:shd w:val="clear" w:color="000000" w:fill="D9D9D9"/>
            <w:noWrap/>
            <w:vAlign w:val="center"/>
            <w:hideMark/>
          </w:tcPr>
          <w:p w14:paraId="4E126EA9" w14:textId="452A0338"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San Carlos Oeste (E. Echeverría)</w:t>
            </w:r>
            <w:r w:rsidR="00BB646F" w:rsidRPr="001A7F0A">
              <w:rPr>
                <w:rFonts w:eastAsia="Times New Roman" w:cs="Times New Roman"/>
                <w:color w:val="000000"/>
                <w:sz w:val="20"/>
                <w:szCs w:val="20"/>
              </w:rPr>
              <w:t>*</w:t>
            </w:r>
          </w:p>
        </w:tc>
        <w:tc>
          <w:tcPr>
            <w:tcW w:w="735" w:type="pct"/>
            <w:tcBorders>
              <w:top w:val="nil"/>
              <w:left w:val="nil"/>
              <w:bottom w:val="single" w:sz="4" w:space="0" w:color="auto"/>
              <w:right w:val="single" w:sz="4" w:space="0" w:color="auto"/>
            </w:tcBorders>
            <w:shd w:val="clear" w:color="000000" w:fill="D9D9D9"/>
            <w:noWrap/>
            <w:vAlign w:val="center"/>
            <w:hideMark/>
          </w:tcPr>
          <w:p w14:paraId="342C3A5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000000" w:fill="D9D9D9"/>
            <w:noWrap/>
            <w:vAlign w:val="center"/>
            <w:hideMark/>
          </w:tcPr>
          <w:p w14:paraId="1FC5DEA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000000" w:fill="D9D9D9"/>
            <w:noWrap/>
            <w:vAlign w:val="center"/>
            <w:hideMark/>
          </w:tcPr>
          <w:p w14:paraId="04FAE950"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000000" w:fill="D9D9D9"/>
            <w:noWrap/>
            <w:vAlign w:val="center"/>
            <w:hideMark/>
          </w:tcPr>
          <w:p w14:paraId="28D54A3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196C857"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5DE922BC"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Soledad (Lomas de Zamora)</w:t>
            </w:r>
          </w:p>
        </w:tc>
        <w:tc>
          <w:tcPr>
            <w:tcW w:w="735" w:type="pct"/>
            <w:tcBorders>
              <w:top w:val="nil"/>
              <w:left w:val="nil"/>
              <w:bottom w:val="single" w:sz="4" w:space="0" w:color="auto"/>
              <w:right w:val="single" w:sz="4" w:space="0" w:color="auto"/>
            </w:tcBorders>
            <w:shd w:val="clear" w:color="auto" w:fill="auto"/>
            <w:noWrap/>
            <w:vAlign w:val="center"/>
            <w:hideMark/>
          </w:tcPr>
          <w:p w14:paraId="53E668A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494AA1A5"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4F2806E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4D9D2B6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20A74C4"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309074BE"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Torchiario</w:t>
            </w:r>
            <w:proofErr w:type="spellEnd"/>
            <w:r w:rsidRPr="001A7F0A">
              <w:rPr>
                <w:rFonts w:eastAsia="Times New Roman" w:cs="Times New Roman"/>
                <w:color w:val="000000"/>
                <w:sz w:val="20"/>
                <w:szCs w:val="20"/>
              </w:rPr>
              <w:t xml:space="preserve"> (Marcos Paz)</w:t>
            </w:r>
          </w:p>
        </w:tc>
        <w:tc>
          <w:tcPr>
            <w:tcW w:w="735" w:type="pct"/>
            <w:tcBorders>
              <w:top w:val="nil"/>
              <w:left w:val="nil"/>
              <w:bottom w:val="single" w:sz="4" w:space="0" w:color="auto"/>
              <w:right w:val="single" w:sz="4" w:space="0" w:color="auto"/>
            </w:tcBorders>
            <w:shd w:val="clear" w:color="auto" w:fill="auto"/>
            <w:noWrap/>
            <w:vAlign w:val="center"/>
            <w:hideMark/>
          </w:tcPr>
          <w:p w14:paraId="30DB6D4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6CFBDE8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1594176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2,08%</w:t>
            </w:r>
          </w:p>
        </w:tc>
        <w:tc>
          <w:tcPr>
            <w:tcW w:w="1103" w:type="pct"/>
            <w:tcBorders>
              <w:top w:val="nil"/>
              <w:left w:val="nil"/>
              <w:bottom w:val="single" w:sz="4" w:space="0" w:color="auto"/>
              <w:right w:val="single" w:sz="4" w:space="0" w:color="auto"/>
            </w:tcBorders>
            <w:shd w:val="clear" w:color="auto" w:fill="auto"/>
            <w:noWrap/>
            <w:vAlign w:val="center"/>
            <w:hideMark/>
          </w:tcPr>
          <w:p w14:paraId="6D521C09"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C9A2CDD"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662E4177"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Trasradio</w:t>
            </w:r>
            <w:proofErr w:type="spellEnd"/>
            <w:r w:rsidRPr="001A7F0A">
              <w:rPr>
                <w:rFonts w:eastAsia="Times New Roman" w:cs="Times New Roman"/>
                <w:color w:val="000000"/>
                <w:sz w:val="20"/>
                <w:szCs w:val="20"/>
              </w:rPr>
              <w:t xml:space="preserve"> (E. Echeverría)</w:t>
            </w:r>
          </w:p>
        </w:tc>
        <w:tc>
          <w:tcPr>
            <w:tcW w:w="735" w:type="pct"/>
            <w:tcBorders>
              <w:top w:val="nil"/>
              <w:left w:val="nil"/>
              <w:bottom w:val="single" w:sz="4" w:space="0" w:color="auto"/>
              <w:right w:val="single" w:sz="4" w:space="0" w:color="auto"/>
            </w:tcBorders>
            <w:shd w:val="clear" w:color="auto" w:fill="auto"/>
            <w:noWrap/>
            <w:vAlign w:val="center"/>
            <w:hideMark/>
          </w:tcPr>
          <w:p w14:paraId="1792704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67E998B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0795D27F"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19B9165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684D0856"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71B81BC2" w14:textId="77777777" w:rsidR="004F08A8" w:rsidRPr="001A7F0A" w:rsidRDefault="004F08A8" w:rsidP="00786F8C">
            <w:pPr>
              <w:spacing w:line="240" w:lineRule="auto"/>
              <w:jc w:val="left"/>
              <w:rPr>
                <w:rFonts w:eastAsia="Times New Roman" w:cs="Times New Roman"/>
                <w:color w:val="000000"/>
                <w:sz w:val="20"/>
                <w:szCs w:val="20"/>
              </w:rPr>
            </w:pPr>
            <w:proofErr w:type="spellStart"/>
            <w:r w:rsidRPr="001A7F0A">
              <w:rPr>
                <w:rFonts w:eastAsia="Times New Roman" w:cs="Times New Roman"/>
                <w:color w:val="000000"/>
                <w:sz w:val="20"/>
                <w:szCs w:val="20"/>
              </w:rPr>
              <w:t>Urioste</w:t>
            </w:r>
            <w:proofErr w:type="spellEnd"/>
            <w:r w:rsidRPr="001A7F0A">
              <w:rPr>
                <w:rFonts w:eastAsia="Times New Roman" w:cs="Times New Roman"/>
                <w:color w:val="000000"/>
                <w:sz w:val="20"/>
                <w:szCs w:val="20"/>
              </w:rPr>
              <w:t xml:space="preserve"> (Marcos Paz)</w:t>
            </w:r>
          </w:p>
        </w:tc>
        <w:tc>
          <w:tcPr>
            <w:tcW w:w="735" w:type="pct"/>
            <w:tcBorders>
              <w:top w:val="nil"/>
              <w:left w:val="nil"/>
              <w:bottom w:val="single" w:sz="4" w:space="0" w:color="auto"/>
              <w:right w:val="single" w:sz="4" w:space="0" w:color="auto"/>
            </w:tcBorders>
            <w:shd w:val="clear" w:color="auto" w:fill="auto"/>
            <w:noWrap/>
            <w:vAlign w:val="center"/>
            <w:hideMark/>
          </w:tcPr>
          <w:p w14:paraId="3F0DDCE2"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11DFAA3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4C929B5C"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2F5EF0E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57B31B2"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6E45C872"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Villa Talleres (Lanús)</w:t>
            </w:r>
          </w:p>
        </w:tc>
        <w:tc>
          <w:tcPr>
            <w:tcW w:w="735" w:type="pct"/>
            <w:tcBorders>
              <w:top w:val="nil"/>
              <w:left w:val="nil"/>
              <w:bottom w:val="single" w:sz="4" w:space="0" w:color="auto"/>
              <w:right w:val="single" w:sz="4" w:space="0" w:color="auto"/>
            </w:tcBorders>
            <w:shd w:val="clear" w:color="auto" w:fill="auto"/>
            <w:noWrap/>
            <w:vAlign w:val="center"/>
            <w:hideMark/>
          </w:tcPr>
          <w:p w14:paraId="0627AB43"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3AE1E7E8"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078A7C76"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2,27%</w:t>
            </w:r>
          </w:p>
        </w:tc>
        <w:tc>
          <w:tcPr>
            <w:tcW w:w="1103" w:type="pct"/>
            <w:tcBorders>
              <w:top w:val="nil"/>
              <w:left w:val="nil"/>
              <w:bottom w:val="single" w:sz="4" w:space="0" w:color="auto"/>
              <w:right w:val="single" w:sz="4" w:space="0" w:color="auto"/>
            </w:tcBorders>
            <w:shd w:val="clear" w:color="auto" w:fill="auto"/>
            <w:noWrap/>
            <w:vAlign w:val="center"/>
            <w:hideMark/>
          </w:tcPr>
          <w:p w14:paraId="66D571CA"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25C17186"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auto" w:fill="auto"/>
            <w:noWrap/>
            <w:vAlign w:val="center"/>
            <w:hideMark/>
          </w:tcPr>
          <w:p w14:paraId="022E2EF1" w14:textId="77777777" w:rsidR="004F08A8" w:rsidRPr="001A7F0A" w:rsidRDefault="004F08A8" w:rsidP="00786F8C">
            <w:pPr>
              <w:spacing w:line="240" w:lineRule="auto"/>
              <w:jc w:val="left"/>
              <w:rPr>
                <w:rFonts w:eastAsia="Times New Roman" w:cs="Times New Roman"/>
                <w:color w:val="000000"/>
                <w:sz w:val="20"/>
                <w:szCs w:val="20"/>
              </w:rPr>
            </w:pPr>
            <w:r w:rsidRPr="001A7F0A">
              <w:rPr>
                <w:rFonts w:eastAsia="Times New Roman" w:cs="Times New Roman"/>
                <w:color w:val="000000"/>
                <w:sz w:val="20"/>
                <w:szCs w:val="20"/>
              </w:rPr>
              <w:t>Vista Linda (Ezeiza)</w:t>
            </w:r>
          </w:p>
        </w:tc>
        <w:tc>
          <w:tcPr>
            <w:tcW w:w="735" w:type="pct"/>
            <w:tcBorders>
              <w:top w:val="nil"/>
              <w:left w:val="nil"/>
              <w:bottom w:val="single" w:sz="4" w:space="0" w:color="auto"/>
              <w:right w:val="single" w:sz="4" w:space="0" w:color="auto"/>
            </w:tcBorders>
            <w:shd w:val="clear" w:color="auto" w:fill="auto"/>
            <w:noWrap/>
            <w:vAlign w:val="center"/>
            <w:hideMark/>
          </w:tcPr>
          <w:p w14:paraId="40CB8CA5"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589" w:type="pct"/>
            <w:tcBorders>
              <w:top w:val="nil"/>
              <w:left w:val="nil"/>
              <w:bottom w:val="single" w:sz="4" w:space="0" w:color="auto"/>
              <w:right w:val="single" w:sz="4" w:space="0" w:color="auto"/>
            </w:tcBorders>
            <w:shd w:val="clear" w:color="auto" w:fill="auto"/>
            <w:noWrap/>
            <w:vAlign w:val="center"/>
            <w:hideMark/>
          </w:tcPr>
          <w:p w14:paraId="5BDF7F84"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880" w:type="pct"/>
            <w:tcBorders>
              <w:top w:val="nil"/>
              <w:left w:val="nil"/>
              <w:bottom w:val="single" w:sz="4" w:space="0" w:color="auto"/>
              <w:right w:val="single" w:sz="4" w:space="0" w:color="auto"/>
            </w:tcBorders>
            <w:shd w:val="clear" w:color="auto" w:fill="auto"/>
            <w:noWrap/>
            <w:vAlign w:val="center"/>
            <w:hideMark/>
          </w:tcPr>
          <w:p w14:paraId="282BD92D"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c>
          <w:tcPr>
            <w:tcW w:w="1103" w:type="pct"/>
            <w:tcBorders>
              <w:top w:val="nil"/>
              <w:left w:val="nil"/>
              <w:bottom w:val="single" w:sz="4" w:space="0" w:color="auto"/>
              <w:right w:val="single" w:sz="4" w:space="0" w:color="auto"/>
            </w:tcBorders>
            <w:shd w:val="clear" w:color="auto" w:fill="auto"/>
            <w:noWrap/>
            <w:vAlign w:val="center"/>
            <w:hideMark/>
          </w:tcPr>
          <w:p w14:paraId="35374E3E" w14:textId="77777777" w:rsidR="004F08A8" w:rsidRPr="001A7F0A" w:rsidRDefault="004F08A8" w:rsidP="00786F8C">
            <w:pPr>
              <w:spacing w:line="240" w:lineRule="auto"/>
              <w:jc w:val="center"/>
              <w:rPr>
                <w:rFonts w:eastAsia="Times New Roman" w:cs="Times New Roman"/>
                <w:color w:val="000000"/>
                <w:sz w:val="20"/>
                <w:szCs w:val="20"/>
              </w:rPr>
            </w:pPr>
            <w:r w:rsidRPr="001A7F0A">
              <w:rPr>
                <w:rFonts w:eastAsia="Times New Roman" w:cs="Times New Roman"/>
                <w:color w:val="000000"/>
                <w:sz w:val="20"/>
                <w:szCs w:val="20"/>
              </w:rPr>
              <w:t>0,00%</w:t>
            </w:r>
          </w:p>
        </w:tc>
      </w:tr>
      <w:tr w:rsidR="004F08A8" w:rsidRPr="001A7F0A" w14:paraId="01E6D90D" w14:textId="77777777" w:rsidTr="00E944FA">
        <w:trPr>
          <w:trHeight w:hRule="exact" w:val="284"/>
          <w:jc w:val="center"/>
        </w:trPr>
        <w:tc>
          <w:tcPr>
            <w:tcW w:w="1692" w:type="pct"/>
            <w:tcBorders>
              <w:top w:val="nil"/>
              <w:left w:val="single" w:sz="4" w:space="0" w:color="auto"/>
              <w:bottom w:val="single" w:sz="4" w:space="0" w:color="auto"/>
              <w:right w:val="single" w:sz="4" w:space="0" w:color="auto"/>
            </w:tcBorders>
            <w:shd w:val="clear" w:color="000000" w:fill="FFF2CC"/>
            <w:vAlign w:val="center"/>
            <w:hideMark/>
          </w:tcPr>
          <w:p w14:paraId="092CE2B9" w14:textId="77777777" w:rsidR="004F08A8" w:rsidRPr="001A7F0A" w:rsidRDefault="004F08A8" w:rsidP="004F08A8">
            <w:pPr>
              <w:spacing w:line="240" w:lineRule="auto"/>
              <w:jc w:val="center"/>
              <w:rPr>
                <w:rFonts w:eastAsia="Times New Roman" w:cs="Times New Roman"/>
                <w:b/>
                <w:bCs/>
                <w:color w:val="000000"/>
                <w:sz w:val="20"/>
                <w:szCs w:val="20"/>
              </w:rPr>
            </w:pPr>
            <w:r w:rsidRPr="001A7F0A">
              <w:rPr>
                <w:rFonts w:eastAsia="Times New Roman" w:cs="Times New Roman"/>
                <w:b/>
                <w:bCs/>
                <w:color w:val="000000"/>
                <w:sz w:val="20"/>
                <w:szCs w:val="20"/>
              </w:rPr>
              <w:t>Total operativos</w:t>
            </w:r>
          </w:p>
        </w:tc>
        <w:tc>
          <w:tcPr>
            <w:tcW w:w="735" w:type="pct"/>
            <w:tcBorders>
              <w:top w:val="nil"/>
              <w:left w:val="nil"/>
              <w:bottom w:val="single" w:sz="4" w:space="0" w:color="auto"/>
              <w:right w:val="single" w:sz="4" w:space="0" w:color="auto"/>
            </w:tcBorders>
            <w:shd w:val="clear" w:color="000000" w:fill="FFF2CC"/>
            <w:vAlign w:val="center"/>
            <w:hideMark/>
          </w:tcPr>
          <w:p w14:paraId="1A0279CC" w14:textId="77777777" w:rsidR="004F08A8" w:rsidRPr="001A7F0A" w:rsidRDefault="004F08A8" w:rsidP="004F08A8">
            <w:pPr>
              <w:spacing w:line="240" w:lineRule="auto"/>
              <w:jc w:val="center"/>
              <w:rPr>
                <w:rFonts w:eastAsia="Times New Roman" w:cs="Times New Roman"/>
                <w:b/>
                <w:bCs/>
                <w:color w:val="000000"/>
                <w:sz w:val="20"/>
                <w:szCs w:val="20"/>
              </w:rPr>
            </w:pPr>
            <w:r w:rsidRPr="001A7F0A">
              <w:rPr>
                <w:rFonts w:eastAsia="Times New Roman" w:cs="Times New Roman"/>
                <w:b/>
                <w:bCs/>
                <w:color w:val="000000"/>
                <w:sz w:val="20"/>
                <w:szCs w:val="20"/>
              </w:rPr>
              <w:t>0,2%</w:t>
            </w:r>
          </w:p>
        </w:tc>
        <w:tc>
          <w:tcPr>
            <w:tcW w:w="589" w:type="pct"/>
            <w:tcBorders>
              <w:top w:val="nil"/>
              <w:left w:val="nil"/>
              <w:bottom w:val="single" w:sz="4" w:space="0" w:color="auto"/>
              <w:right w:val="single" w:sz="4" w:space="0" w:color="auto"/>
            </w:tcBorders>
            <w:shd w:val="clear" w:color="000000" w:fill="FFF2CC"/>
            <w:vAlign w:val="center"/>
            <w:hideMark/>
          </w:tcPr>
          <w:p w14:paraId="6C074F7D" w14:textId="77777777" w:rsidR="004F08A8" w:rsidRPr="001A7F0A" w:rsidRDefault="004F08A8" w:rsidP="004F08A8">
            <w:pPr>
              <w:spacing w:line="240" w:lineRule="auto"/>
              <w:jc w:val="center"/>
              <w:rPr>
                <w:rFonts w:eastAsia="Times New Roman" w:cs="Times New Roman"/>
                <w:b/>
                <w:bCs/>
                <w:color w:val="000000"/>
                <w:sz w:val="20"/>
                <w:szCs w:val="20"/>
              </w:rPr>
            </w:pPr>
            <w:r w:rsidRPr="001A7F0A">
              <w:rPr>
                <w:rFonts w:eastAsia="Times New Roman" w:cs="Times New Roman"/>
                <w:b/>
                <w:bCs/>
                <w:color w:val="000000"/>
                <w:sz w:val="20"/>
                <w:szCs w:val="20"/>
              </w:rPr>
              <w:t>0,3%</w:t>
            </w:r>
          </w:p>
        </w:tc>
        <w:tc>
          <w:tcPr>
            <w:tcW w:w="880" w:type="pct"/>
            <w:tcBorders>
              <w:top w:val="nil"/>
              <w:left w:val="nil"/>
              <w:bottom w:val="single" w:sz="4" w:space="0" w:color="auto"/>
              <w:right w:val="single" w:sz="4" w:space="0" w:color="auto"/>
            </w:tcBorders>
            <w:shd w:val="clear" w:color="000000" w:fill="FFF2CC"/>
            <w:vAlign w:val="center"/>
            <w:hideMark/>
          </w:tcPr>
          <w:p w14:paraId="6F815A14" w14:textId="77777777" w:rsidR="004F08A8" w:rsidRPr="001A7F0A" w:rsidRDefault="004F08A8" w:rsidP="004F08A8">
            <w:pPr>
              <w:spacing w:line="240" w:lineRule="auto"/>
              <w:jc w:val="center"/>
              <w:rPr>
                <w:rFonts w:eastAsia="Times New Roman" w:cs="Times New Roman"/>
                <w:b/>
                <w:bCs/>
                <w:color w:val="000000"/>
                <w:sz w:val="20"/>
                <w:szCs w:val="20"/>
              </w:rPr>
            </w:pPr>
            <w:r w:rsidRPr="001A7F0A">
              <w:rPr>
                <w:rFonts w:eastAsia="Times New Roman" w:cs="Times New Roman"/>
                <w:b/>
                <w:bCs/>
                <w:color w:val="000000"/>
                <w:sz w:val="20"/>
                <w:szCs w:val="20"/>
              </w:rPr>
              <w:t>0,4%</w:t>
            </w:r>
          </w:p>
        </w:tc>
        <w:tc>
          <w:tcPr>
            <w:tcW w:w="1103" w:type="pct"/>
            <w:tcBorders>
              <w:top w:val="nil"/>
              <w:left w:val="nil"/>
              <w:bottom w:val="single" w:sz="4" w:space="0" w:color="auto"/>
              <w:right w:val="single" w:sz="4" w:space="0" w:color="auto"/>
            </w:tcBorders>
            <w:shd w:val="clear" w:color="000000" w:fill="FFF2CC"/>
            <w:vAlign w:val="center"/>
            <w:hideMark/>
          </w:tcPr>
          <w:p w14:paraId="5069B237" w14:textId="77777777" w:rsidR="004F08A8" w:rsidRPr="001A7F0A" w:rsidRDefault="004F08A8" w:rsidP="004F08A8">
            <w:pPr>
              <w:spacing w:line="240" w:lineRule="auto"/>
              <w:jc w:val="center"/>
              <w:rPr>
                <w:rFonts w:eastAsia="Times New Roman" w:cs="Times New Roman"/>
                <w:b/>
                <w:bCs/>
                <w:color w:val="000000"/>
                <w:sz w:val="20"/>
                <w:szCs w:val="20"/>
              </w:rPr>
            </w:pPr>
            <w:r w:rsidRPr="001A7F0A">
              <w:rPr>
                <w:rFonts w:eastAsia="Times New Roman" w:cs="Times New Roman"/>
                <w:b/>
                <w:bCs/>
                <w:color w:val="000000"/>
                <w:sz w:val="20"/>
                <w:szCs w:val="20"/>
              </w:rPr>
              <w:t>0,0%</w:t>
            </w:r>
          </w:p>
        </w:tc>
      </w:tr>
    </w:tbl>
    <w:p w14:paraId="0B46CC74" w14:textId="77777777" w:rsidR="00BB646F" w:rsidRDefault="00BB646F">
      <w:pPr>
        <w:ind w:left="2280" w:firstLine="600"/>
        <w:rPr>
          <w:sz w:val="18"/>
          <w:szCs w:val="18"/>
        </w:rPr>
      </w:pPr>
    </w:p>
    <w:p w14:paraId="4E19D446" w14:textId="220334F0" w:rsidR="00BB646F" w:rsidRDefault="00BB646F" w:rsidP="00BB646F">
      <w:pPr>
        <w:ind w:firstLine="0"/>
        <w:jc w:val="left"/>
        <w:rPr>
          <w:sz w:val="18"/>
          <w:szCs w:val="18"/>
        </w:rPr>
      </w:pPr>
      <w:r w:rsidRPr="00C82A08">
        <w:rPr>
          <w:sz w:val="20"/>
        </w:rPr>
        <w:t>*En el relevamiento correspondiente al barrio San Carlos Oeste (E. Echeverría) no hubo población de menores a 6 años.</w:t>
      </w:r>
    </w:p>
    <w:p w14:paraId="0041540D" w14:textId="361E2BEC" w:rsidR="00900D5B" w:rsidRDefault="00C70F0F">
      <w:pPr>
        <w:ind w:left="2280" w:firstLine="600"/>
      </w:pPr>
      <w:r>
        <w:rPr>
          <w:sz w:val="18"/>
          <w:szCs w:val="18"/>
        </w:rPr>
        <w:lastRenderedPageBreak/>
        <w:t>Fuente: elaboración propia en base a datos EISAAR</w:t>
      </w:r>
    </w:p>
    <w:p w14:paraId="65421824" w14:textId="77777777" w:rsidR="00900D5B" w:rsidRDefault="00900D5B"/>
    <w:p w14:paraId="33A4F75F" w14:textId="77777777" w:rsidR="00900D5B" w:rsidRDefault="00900D5B"/>
    <w:p w14:paraId="35E05C2A" w14:textId="234DED39" w:rsidR="00B034B6" w:rsidRPr="001A7F0A" w:rsidRDefault="00F34663" w:rsidP="00B034B6">
      <w:pPr>
        <w:pStyle w:val="Ttulo1"/>
        <w:spacing w:before="0" w:after="0"/>
        <w:rPr>
          <w:sz w:val="22"/>
          <w:szCs w:val="24"/>
        </w:rPr>
      </w:pPr>
      <w:bookmarkStart w:id="24" w:name="_Toc21530836"/>
      <w:r w:rsidRPr="001A7F0A">
        <w:rPr>
          <w:sz w:val="22"/>
          <w:szCs w:val="24"/>
        </w:rPr>
        <w:t>IV</w:t>
      </w:r>
      <w:r w:rsidR="00B034B6" w:rsidRPr="001A7F0A">
        <w:rPr>
          <w:sz w:val="22"/>
          <w:szCs w:val="24"/>
        </w:rPr>
        <w:t>. Conclusiones:</w:t>
      </w:r>
      <w:bookmarkEnd w:id="24"/>
    </w:p>
    <w:p w14:paraId="2DF5A297" w14:textId="7BC1AE70" w:rsidR="004702E8" w:rsidRPr="001A7F0A" w:rsidRDefault="00347FE4" w:rsidP="004702E8">
      <w:pPr>
        <w:rPr>
          <w:sz w:val="22"/>
        </w:rPr>
      </w:pPr>
      <w:r w:rsidRPr="001A7F0A">
        <w:rPr>
          <w:sz w:val="22"/>
        </w:rPr>
        <w:t xml:space="preserve">La revisión de las fuentes de información secundaria permite evaluar las diferencias entre la CMR y las jurisdicciones que la incluyen. Los análisis realizados no permiten establecer </w:t>
      </w:r>
      <w:r w:rsidR="00340E80" w:rsidRPr="001A7F0A">
        <w:rPr>
          <w:sz w:val="22"/>
        </w:rPr>
        <w:t xml:space="preserve">un comportamiento diferente </w:t>
      </w:r>
      <w:r w:rsidRPr="001A7F0A">
        <w:rPr>
          <w:sz w:val="22"/>
        </w:rPr>
        <w:t xml:space="preserve">de los </w:t>
      </w:r>
      <w:r w:rsidR="00340E80" w:rsidRPr="001A7F0A">
        <w:rPr>
          <w:sz w:val="22"/>
        </w:rPr>
        <w:t>eventos</w:t>
      </w:r>
      <w:r w:rsidRPr="001A7F0A">
        <w:rPr>
          <w:sz w:val="22"/>
        </w:rPr>
        <w:t xml:space="preserve"> de salud de la CMR por encima de las jurisdicciones que la contienen.</w:t>
      </w:r>
    </w:p>
    <w:p w14:paraId="725CAF4B" w14:textId="594EE201" w:rsidR="00347FE4" w:rsidRPr="001A7F0A" w:rsidRDefault="00347FE4" w:rsidP="004702E8">
      <w:pPr>
        <w:rPr>
          <w:sz w:val="22"/>
        </w:rPr>
      </w:pPr>
      <w:r w:rsidRPr="001A7F0A">
        <w:rPr>
          <w:sz w:val="22"/>
        </w:rPr>
        <w:t xml:space="preserve">Así, el análisis de </w:t>
      </w:r>
      <w:r w:rsidR="003E39C5" w:rsidRPr="001A7F0A">
        <w:rPr>
          <w:sz w:val="22"/>
        </w:rPr>
        <w:t>los datos del</w:t>
      </w:r>
      <w:r w:rsidRPr="001A7F0A">
        <w:rPr>
          <w:sz w:val="22"/>
        </w:rPr>
        <w:t xml:space="preserve"> SNVS</w:t>
      </w:r>
      <w:r w:rsidR="003E39C5" w:rsidRPr="001A7F0A">
        <w:rPr>
          <w:sz w:val="22"/>
        </w:rPr>
        <w:t xml:space="preserve"> 2.0</w:t>
      </w:r>
      <w:r w:rsidRPr="001A7F0A">
        <w:rPr>
          <w:sz w:val="22"/>
        </w:rPr>
        <w:t xml:space="preserve"> </w:t>
      </w:r>
      <w:r w:rsidR="00B4350F" w:rsidRPr="001A7F0A">
        <w:rPr>
          <w:sz w:val="22"/>
        </w:rPr>
        <w:t xml:space="preserve">no muestra un comportamiento </w:t>
      </w:r>
      <w:r w:rsidR="003E39C5" w:rsidRPr="001A7F0A">
        <w:rPr>
          <w:sz w:val="22"/>
        </w:rPr>
        <w:t xml:space="preserve">con características </w:t>
      </w:r>
      <w:r w:rsidR="00B4350F" w:rsidRPr="001A7F0A">
        <w:rPr>
          <w:sz w:val="22"/>
        </w:rPr>
        <w:t>diferencial</w:t>
      </w:r>
      <w:r w:rsidR="003E39C5" w:rsidRPr="001A7F0A">
        <w:rPr>
          <w:sz w:val="22"/>
        </w:rPr>
        <w:t>es</w:t>
      </w:r>
      <w:r w:rsidR="00B4350F" w:rsidRPr="001A7F0A">
        <w:rPr>
          <w:sz w:val="22"/>
        </w:rPr>
        <w:t xml:space="preserve"> en </w:t>
      </w:r>
      <w:r w:rsidR="003E39C5" w:rsidRPr="001A7F0A">
        <w:rPr>
          <w:sz w:val="22"/>
        </w:rPr>
        <w:t>l</w:t>
      </w:r>
      <w:r w:rsidR="00B4350F" w:rsidRPr="001A7F0A">
        <w:rPr>
          <w:sz w:val="22"/>
        </w:rPr>
        <w:t xml:space="preserve">os eventos </w:t>
      </w:r>
      <w:r w:rsidR="003E39C5" w:rsidRPr="001A7F0A">
        <w:rPr>
          <w:sz w:val="22"/>
        </w:rPr>
        <w:t>notificados</w:t>
      </w:r>
      <w:r w:rsidR="00B4350F" w:rsidRPr="001A7F0A">
        <w:rPr>
          <w:sz w:val="22"/>
        </w:rPr>
        <w:t xml:space="preserve"> estudiados</w:t>
      </w:r>
      <w:r w:rsidR="003E39C5" w:rsidRPr="001A7F0A">
        <w:rPr>
          <w:sz w:val="22"/>
        </w:rPr>
        <w:t>,</w:t>
      </w:r>
      <w:r w:rsidR="00B4350F" w:rsidRPr="001A7F0A">
        <w:rPr>
          <w:sz w:val="22"/>
        </w:rPr>
        <w:t xml:space="preserve"> entre la CMR, y CABA y </w:t>
      </w:r>
      <w:r w:rsidR="00116C80" w:rsidRPr="001A7F0A">
        <w:rPr>
          <w:sz w:val="22"/>
        </w:rPr>
        <w:t>PBA</w:t>
      </w:r>
      <w:r w:rsidR="003E39C5" w:rsidRPr="001A7F0A">
        <w:rPr>
          <w:sz w:val="22"/>
        </w:rPr>
        <w:t>, registrando según el evento, tasas por encima, por debajo o similares a estas jurisdicciones;</w:t>
      </w:r>
      <w:r w:rsidR="00B4350F" w:rsidRPr="001A7F0A">
        <w:rPr>
          <w:sz w:val="22"/>
        </w:rPr>
        <w:t xml:space="preserve"> </w:t>
      </w:r>
      <w:r w:rsidR="003E39C5" w:rsidRPr="001A7F0A">
        <w:rPr>
          <w:sz w:val="22"/>
        </w:rPr>
        <w:t>mientras que,</w:t>
      </w:r>
      <w:r w:rsidR="00B4350F" w:rsidRPr="001A7F0A">
        <w:rPr>
          <w:sz w:val="22"/>
        </w:rPr>
        <w:t xml:space="preserve"> </w:t>
      </w:r>
      <w:r w:rsidR="003E39C5" w:rsidRPr="001A7F0A">
        <w:rPr>
          <w:sz w:val="22"/>
        </w:rPr>
        <w:t xml:space="preserve">si se </w:t>
      </w:r>
      <w:r w:rsidR="00B4350F" w:rsidRPr="001A7F0A">
        <w:rPr>
          <w:sz w:val="22"/>
        </w:rPr>
        <w:t>registr</w:t>
      </w:r>
      <w:r w:rsidR="003E39C5" w:rsidRPr="001A7F0A">
        <w:rPr>
          <w:sz w:val="22"/>
        </w:rPr>
        <w:t>a</w:t>
      </w:r>
      <w:r w:rsidR="00B4350F" w:rsidRPr="001A7F0A">
        <w:rPr>
          <w:sz w:val="22"/>
        </w:rPr>
        <w:t xml:space="preserve"> en todos los eventos estudiados</w:t>
      </w:r>
      <w:r w:rsidR="00971F6B" w:rsidRPr="001A7F0A">
        <w:rPr>
          <w:sz w:val="22"/>
        </w:rPr>
        <w:t xml:space="preserve"> tasas inferiores a los del Total del país.</w:t>
      </w:r>
    </w:p>
    <w:p w14:paraId="6F7F7342" w14:textId="77777777" w:rsidR="00347FE4" w:rsidRPr="001A7F0A" w:rsidRDefault="00347FE4">
      <w:pPr>
        <w:rPr>
          <w:sz w:val="22"/>
          <w:highlight w:val="magenta"/>
        </w:rPr>
      </w:pPr>
    </w:p>
    <w:p w14:paraId="079E06A3" w14:textId="0794251F" w:rsidR="004702E8" w:rsidRPr="001A7F0A" w:rsidRDefault="00347FE4" w:rsidP="000D6FAB">
      <w:pPr>
        <w:rPr>
          <w:sz w:val="22"/>
        </w:rPr>
      </w:pPr>
      <w:r w:rsidRPr="001A7F0A">
        <w:rPr>
          <w:sz w:val="22"/>
        </w:rPr>
        <w:t xml:space="preserve">En cuanto al informe realizado sobre la notificación de anomalías congénitas </w:t>
      </w:r>
      <w:r w:rsidR="00E04015" w:rsidRPr="001A7F0A">
        <w:rPr>
          <w:sz w:val="22"/>
        </w:rPr>
        <w:t>s</w:t>
      </w:r>
      <w:r w:rsidR="00561C1B" w:rsidRPr="001A7F0A">
        <w:rPr>
          <w:sz w:val="22"/>
        </w:rPr>
        <w:t>e observ</w:t>
      </w:r>
      <w:r w:rsidR="000D6FAB" w:rsidRPr="001A7F0A">
        <w:rPr>
          <w:sz w:val="22"/>
        </w:rPr>
        <w:t>ó que en el análisis de la</w:t>
      </w:r>
      <w:r w:rsidR="00504F2E" w:rsidRPr="001A7F0A">
        <w:rPr>
          <w:sz w:val="22"/>
        </w:rPr>
        <w:t xml:space="preserve"> tendencia histórica (2014-2017) </w:t>
      </w:r>
      <w:r w:rsidR="000D6FAB" w:rsidRPr="001A7F0A">
        <w:rPr>
          <w:sz w:val="22"/>
        </w:rPr>
        <w:t>se vieron</w:t>
      </w:r>
      <w:r w:rsidR="00504F2E" w:rsidRPr="001A7F0A">
        <w:rPr>
          <w:sz w:val="22"/>
        </w:rPr>
        <w:t xml:space="preserve"> </w:t>
      </w:r>
      <w:r w:rsidR="000D6FAB" w:rsidRPr="001A7F0A">
        <w:rPr>
          <w:sz w:val="22"/>
        </w:rPr>
        <w:t xml:space="preserve">tasas </w:t>
      </w:r>
      <w:r w:rsidR="00504F2E" w:rsidRPr="001A7F0A">
        <w:rPr>
          <w:sz w:val="22"/>
        </w:rPr>
        <w:t>más elevad</w:t>
      </w:r>
      <w:r w:rsidR="000D6FAB" w:rsidRPr="001A7F0A">
        <w:rPr>
          <w:sz w:val="22"/>
        </w:rPr>
        <w:t>a</w:t>
      </w:r>
      <w:r w:rsidR="00504F2E" w:rsidRPr="001A7F0A">
        <w:rPr>
          <w:sz w:val="22"/>
        </w:rPr>
        <w:t xml:space="preserve">s en CABA y CMR respecto de </w:t>
      </w:r>
      <w:r w:rsidR="000D6FAB" w:rsidRPr="001A7F0A">
        <w:rPr>
          <w:sz w:val="22"/>
        </w:rPr>
        <w:t xml:space="preserve">PBA </w:t>
      </w:r>
      <w:r w:rsidR="00504F2E" w:rsidRPr="001A7F0A">
        <w:rPr>
          <w:sz w:val="22"/>
        </w:rPr>
        <w:t>y Argentina</w:t>
      </w:r>
      <w:r w:rsidR="000D6FAB" w:rsidRPr="001A7F0A">
        <w:rPr>
          <w:sz w:val="22"/>
        </w:rPr>
        <w:t>. Para el año 2017, la tasa de CMR mostró un valor similar al de PBA y Argentina. Vale aclarar que a</w:t>
      </w:r>
      <w:r w:rsidR="00561C1B" w:rsidRPr="001A7F0A">
        <w:rPr>
          <w:sz w:val="22"/>
        </w:rPr>
        <w:t xml:space="preserve">l basarse en un registro institucional, no puede descartarse un sesgo por la derivación de embarazos de riesgo o con diagnóstico prenatal. </w:t>
      </w:r>
    </w:p>
    <w:p w14:paraId="0775AA0F" w14:textId="13252104" w:rsidR="00347FE4" w:rsidRPr="001A7F0A" w:rsidRDefault="00347FE4" w:rsidP="000D6FAB">
      <w:pPr>
        <w:ind w:firstLine="0"/>
        <w:rPr>
          <w:sz w:val="22"/>
          <w:highlight w:val="magenta"/>
        </w:rPr>
      </w:pPr>
    </w:p>
    <w:p w14:paraId="12705339" w14:textId="5507717A" w:rsidR="00D539FB" w:rsidRPr="001A7F0A" w:rsidRDefault="00D539FB">
      <w:pPr>
        <w:rPr>
          <w:sz w:val="22"/>
        </w:rPr>
      </w:pPr>
      <w:r w:rsidRPr="001A7F0A">
        <w:rPr>
          <w:sz w:val="22"/>
        </w:rPr>
        <w:t>La información que proporcionó el INC no permitió un análisis</w:t>
      </w:r>
      <w:r w:rsidR="00340E80" w:rsidRPr="001A7F0A">
        <w:rPr>
          <w:sz w:val="22"/>
        </w:rPr>
        <w:t>,</w:t>
      </w:r>
      <w:r w:rsidRPr="001A7F0A">
        <w:rPr>
          <w:sz w:val="22"/>
        </w:rPr>
        <w:t xml:space="preserve"> ni extraer conclusiones respecto de la </w:t>
      </w:r>
      <w:r w:rsidR="00340E80" w:rsidRPr="001A7F0A">
        <w:rPr>
          <w:sz w:val="22"/>
        </w:rPr>
        <w:t xml:space="preserve">situación en la </w:t>
      </w:r>
      <w:r w:rsidRPr="001A7F0A">
        <w:rPr>
          <w:sz w:val="22"/>
        </w:rPr>
        <w:t>CMR y jurisdicciones.</w:t>
      </w:r>
    </w:p>
    <w:p w14:paraId="4809B753" w14:textId="77777777" w:rsidR="00347FE4" w:rsidRPr="001A7F0A" w:rsidRDefault="00347FE4">
      <w:pPr>
        <w:rPr>
          <w:sz w:val="22"/>
          <w:highlight w:val="magenta"/>
        </w:rPr>
      </w:pPr>
    </w:p>
    <w:p w14:paraId="7D500F25" w14:textId="77777777" w:rsidR="00347FE4" w:rsidRPr="001A7F0A" w:rsidRDefault="00347FE4">
      <w:pPr>
        <w:rPr>
          <w:sz w:val="22"/>
        </w:rPr>
      </w:pPr>
      <w:r w:rsidRPr="001A7F0A">
        <w:rPr>
          <w:sz w:val="22"/>
        </w:rPr>
        <w:t>En cuanto al análisis de la Mortalidad Infantil, no se observaron diferencias estadísticamente significativas en la CMR por encima de las jurisdicciones que la componen, ni en los riesgos específicos de las causas de mortalidad infantil relacionadas con la exposición ambiental.</w:t>
      </w:r>
    </w:p>
    <w:p w14:paraId="609E1B42" w14:textId="77777777" w:rsidR="00347FE4" w:rsidRPr="001A7F0A" w:rsidRDefault="00347FE4">
      <w:pPr>
        <w:rPr>
          <w:sz w:val="22"/>
        </w:rPr>
      </w:pPr>
    </w:p>
    <w:p w14:paraId="08B7A54E" w14:textId="77777777" w:rsidR="00347FE4" w:rsidRPr="001A7F0A" w:rsidRDefault="00347FE4">
      <w:pPr>
        <w:rPr>
          <w:sz w:val="22"/>
        </w:rPr>
      </w:pPr>
      <w:r w:rsidRPr="001A7F0A">
        <w:rPr>
          <w:sz w:val="22"/>
        </w:rPr>
        <w:t>En el análisis de la mortalidad general en la CMR tampoco se observaron diferencias estadísticamente significativas entre la CMR y las jurisdicciones que la componen.</w:t>
      </w:r>
    </w:p>
    <w:p w14:paraId="669BBFC9" w14:textId="77777777" w:rsidR="00347FE4" w:rsidRPr="001A7F0A" w:rsidRDefault="00347FE4">
      <w:pPr>
        <w:rPr>
          <w:sz w:val="22"/>
        </w:rPr>
      </w:pPr>
    </w:p>
    <w:p w14:paraId="0CBA9018" w14:textId="07FAAF57" w:rsidR="004702E8" w:rsidRPr="001A7F0A" w:rsidRDefault="00347FE4">
      <w:pPr>
        <w:rPr>
          <w:sz w:val="22"/>
        </w:rPr>
      </w:pPr>
      <w:r w:rsidRPr="001A7F0A">
        <w:rPr>
          <w:sz w:val="22"/>
        </w:rPr>
        <w:t xml:space="preserve">El análisis de las </w:t>
      </w:r>
      <w:r w:rsidR="004702E8" w:rsidRPr="001A7F0A">
        <w:rPr>
          <w:sz w:val="22"/>
        </w:rPr>
        <w:t>EISAAR</w:t>
      </w:r>
      <w:r w:rsidRPr="001A7F0A">
        <w:rPr>
          <w:sz w:val="22"/>
        </w:rPr>
        <w:t xml:space="preserve"> permite conocer la magnitud de problemas</w:t>
      </w:r>
      <w:r w:rsidR="00561C1B" w:rsidRPr="001A7F0A">
        <w:rPr>
          <w:sz w:val="22"/>
        </w:rPr>
        <w:t xml:space="preserve"> de salud</w:t>
      </w:r>
      <w:r w:rsidRPr="001A7F0A">
        <w:rPr>
          <w:sz w:val="22"/>
        </w:rPr>
        <w:t xml:space="preserve"> </w:t>
      </w:r>
      <w:r w:rsidR="00D539FB" w:rsidRPr="001A7F0A">
        <w:rPr>
          <w:sz w:val="22"/>
        </w:rPr>
        <w:t xml:space="preserve">a nivel local </w:t>
      </w:r>
      <w:r w:rsidR="00561C1B" w:rsidRPr="001A7F0A">
        <w:rPr>
          <w:sz w:val="22"/>
        </w:rPr>
        <w:t>que no poseen otra fuente, como sucede por ejemplo con los</w:t>
      </w:r>
      <w:r w:rsidRPr="001A7F0A">
        <w:rPr>
          <w:sz w:val="22"/>
        </w:rPr>
        <w:t xml:space="preserve"> casos referidos de enfermedad</w:t>
      </w:r>
      <w:r w:rsidR="00561C1B" w:rsidRPr="001A7F0A">
        <w:rPr>
          <w:sz w:val="22"/>
        </w:rPr>
        <w:t>es</w:t>
      </w:r>
      <w:r w:rsidRPr="001A7F0A">
        <w:rPr>
          <w:sz w:val="22"/>
        </w:rPr>
        <w:t xml:space="preserve"> respiratoria</w:t>
      </w:r>
      <w:r w:rsidR="00561C1B" w:rsidRPr="001A7F0A">
        <w:rPr>
          <w:sz w:val="22"/>
        </w:rPr>
        <w:t>s</w:t>
      </w:r>
      <w:r w:rsidRPr="001A7F0A">
        <w:rPr>
          <w:sz w:val="22"/>
        </w:rPr>
        <w:t>,</w:t>
      </w:r>
      <w:r w:rsidR="00561C1B" w:rsidRPr="001A7F0A">
        <w:rPr>
          <w:sz w:val="22"/>
        </w:rPr>
        <w:t xml:space="preserve"> aunque no hayan consultado a un efector de salud; además </w:t>
      </w:r>
      <w:r w:rsidR="00561C1B" w:rsidRPr="001A7F0A">
        <w:rPr>
          <w:sz w:val="22"/>
        </w:rPr>
        <w:lastRenderedPageBreak/>
        <w:t xml:space="preserve">este relevamiento posibilita la comparación entre </w:t>
      </w:r>
      <w:proofErr w:type="spellStart"/>
      <w:r w:rsidR="00561C1B" w:rsidRPr="001A7F0A">
        <w:rPr>
          <w:sz w:val="22"/>
        </w:rPr>
        <w:t>UREMs</w:t>
      </w:r>
      <w:proofErr w:type="spellEnd"/>
      <w:r w:rsidR="00F34663" w:rsidRPr="001A7F0A">
        <w:rPr>
          <w:sz w:val="22"/>
        </w:rPr>
        <w:t xml:space="preserve">. Los </w:t>
      </w:r>
      <w:r w:rsidR="00561C1B" w:rsidRPr="001A7F0A">
        <w:rPr>
          <w:sz w:val="22"/>
        </w:rPr>
        <w:t xml:space="preserve">eventos </w:t>
      </w:r>
      <w:r w:rsidR="00D539FB" w:rsidRPr="001A7F0A">
        <w:rPr>
          <w:sz w:val="22"/>
        </w:rPr>
        <w:t>encontrados con mayor</w:t>
      </w:r>
      <w:r w:rsidR="00561C1B" w:rsidRPr="001A7F0A">
        <w:rPr>
          <w:sz w:val="22"/>
        </w:rPr>
        <w:t xml:space="preserve"> frecuen</w:t>
      </w:r>
      <w:r w:rsidR="00D539FB" w:rsidRPr="001A7F0A">
        <w:rPr>
          <w:sz w:val="22"/>
        </w:rPr>
        <w:t>cia</w:t>
      </w:r>
      <w:r w:rsidR="00F34663" w:rsidRPr="001A7F0A">
        <w:rPr>
          <w:sz w:val="22"/>
        </w:rPr>
        <w:t xml:space="preserve"> fueron los problemas respiratorios, las diarreas y los problemas dermatológicos.</w:t>
      </w:r>
    </w:p>
    <w:p w14:paraId="7736B473" w14:textId="3785629E" w:rsidR="00F34663" w:rsidRPr="001A7F0A" w:rsidRDefault="00F34663">
      <w:pPr>
        <w:rPr>
          <w:sz w:val="22"/>
        </w:rPr>
      </w:pPr>
      <w:r w:rsidRPr="001A7F0A">
        <w:rPr>
          <w:sz w:val="22"/>
        </w:rPr>
        <w:t xml:space="preserve">En </w:t>
      </w:r>
      <w:r w:rsidR="00D539FB" w:rsidRPr="001A7F0A">
        <w:rPr>
          <w:sz w:val="22"/>
        </w:rPr>
        <w:t>cuanto a</w:t>
      </w:r>
      <w:r w:rsidRPr="001A7F0A">
        <w:rPr>
          <w:sz w:val="22"/>
        </w:rPr>
        <w:t xml:space="preserve"> las enfermedades crónicas no transmisibles</w:t>
      </w:r>
      <w:r w:rsidR="00D539FB" w:rsidRPr="001A7F0A">
        <w:rPr>
          <w:sz w:val="22"/>
        </w:rPr>
        <w:t xml:space="preserve"> referidas por la población se observaron</w:t>
      </w:r>
      <w:r w:rsidRPr="001A7F0A">
        <w:rPr>
          <w:sz w:val="22"/>
        </w:rPr>
        <w:t xml:space="preserve"> valores </w:t>
      </w:r>
      <w:r w:rsidR="00D539FB" w:rsidRPr="001A7F0A">
        <w:rPr>
          <w:sz w:val="22"/>
        </w:rPr>
        <w:t>menores</w:t>
      </w:r>
      <w:r w:rsidRPr="001A7F0A">
        <w:rPr>
          <w:sz w:val="22"/>
        </w:rPr>
        <w:t xml:space="preserve"> a los publicados en la Encuesta Nacional de Factores de Riesgo en cada una de las jurisdicciones que integra la CMR. </w:t>
      </w:r>
      <w:r w:rsidR="00D539FB" w:rsidRPr="001A7F0A">
        <w:rPr>
          <w:sz w:val="22"/>
        </w:rPr>
        <w:t xml:space="preserve">No puede dejar de mencionarse que las diferencias en estos valores pueden atribuirse al hecho de </w:t>
      </w:r>
      <w:r w:rsidRPr="001A7F0A">
        <w:rPr>
          <w:sz w:val="22"/>
        </w:rPr>
        <w:t xml:space="preserve">que la estructura de la población relevada en las EISAAR es más joven que las poblaciones de </w:t>
      </w:r>
      <w:r w:rsidR="00D539FB" w:rsidRPr="001A7F0A">
        <w:rPr>
          <w:sz w:val="22"/>
        </w:rPr>
        <w:t>comparación.</w:t>
      </w:r>
    </w:p>
    <w:p w14:paraId="732C8FAE" w14:textId="39B84B40" w:rsidR="00B034B6" w:rsidRDefault="00F34663">
      <w:r>
        <w:br/>
      </w:r>
      <w:r w:rsidR="00B034B6">
        <w:br w:type="page"/>
      </w:r>
    </w:p>
    <w:p w14:paraId="02BBDB39" w14:textId="7F927560" w:rsidR="00900D5B" w:rsidRPr="001A7F0A" w:rsidRDefault="00B034B6">
      <w:pPr>
        <w:pStyle w:val="Ttulo1"/>
        <w:ind w:firstLine="0"/>
        <w:rPr>
          <w:sz w:val="22"/>
          <w:szCs w:val="24"/>
        </w:rPr>
      </w:pPr>
      <w:bookmarkStart w:id="25" w:name="_Toc21530837"/>
      <w:r w:rsidRPr="001A7F0A">
        <w:rPr>
          <w:sz w:val="22"/>
          <w:szCs w:val="24"/>
        </w:rPr>
        <w:lastRenderedPageBreak/>
        <w:t>V</w:t>
      </w:r>
      <w:r w:rsidR="00C70F0F" w:rsidRPr="001A7F0A">
        <w:rPr>
          <w:sz w:val="22"/>
          <w:szCs w:val="24"/>
        </w:rPr>
        <w:t>. Abreviaturas</w:t>
      </w:r>
      <w:bookmarkEnd w:id="25"/>
    </w:p>
    <w:p w14:paraId="7BD5CDA1" w14:textId="77777777" w:rsidR="00900D5B" w:rsidRDefault="00900D5B"/>
    <w:p w14:paraId="543E94F9" w14:textId="77777777" w:rsidR="00900D5B" w:rsidRPr="001A7F0A" w:rsidRDefault="00C70F0F">
      <w:pPr>
        <w:rPr>
          <w:sz w:val="22"/>
        </w:rPr>
      </w:pPr>
      <w:r w:rsidRPr="001A7F0A">
        <w:rPr>
          <w:sz w:val="22"/>
        </w:rPr>
        <w:t>AC - Anomalías Congénitas</w:t>
      </w:r>
    </w:p>
    <w:p w14:paraId="7FE5EC32" w14:textId="77777777" w:rsidR="00900D5B" w:rsidRPr="001A7F0A" w:rsidRDefault="00C70F0F">
      <w:pPr>
        <w:rPr>
          <w:sz w:val="22"/>
        </w:rPr>
      </w:pPr>
      <w:r w:rsidRPr="001A7F0A">
        <w:rPr>
          <w:sz w:val="22"/>
        </w:rPr>
        <w:t>CABA-Ciudad de Buenos Aires</w:t>
      </w:r>
    </w:p>
    <w:p w14:paraId="32A32EE7" w14:textId="77777777" w:rsidR="00900D5B" w:rsidRPr="001A7F0A" w:rsidRDefault="00C70F0F">
      <w:pPr>
        <w:rPr>
          <w:sz w:val="22"/>
        </w:rPr>
      </w:pPr>
      <w:r w:rsidRPr="001A7F0A">
        <w:rPr>
          <w:sz w:val="22"/>
        </w:rPr>
        <w:t>CMR- Cuenca Matanza Riachuelo</w:t>
      </w:r>
    </w:p>
    <w:p w14:paraId="394B2DC2" w14:textId="77777777" w:rsidR="00900D5B" w:rsidRPr="001A7F0A" w:rsidRDefault="00C70F0F">
      <w:pPr>
        <w:rPr>
          <w:sz w:val="22"/>
        </w:rPr>
      </w:pPr>
      <w:r w:rsidRPr="001A7F0A">
        <w:rPr>
          <w:sz w:val="22"/>
        </w:rPr>
        <w:t xml:space="preserve">DEIS- Dirección de Estadísticas e información de Salud </w:t>
      </w:r>
    </w:p>
    <w:p w14:paraId="14273D27" w14:textId="77777777" w:rsidR="00900D5B" w:rsidRPr="001A7F0A" w:rsidRDefault="00C70F0F">
      <w:pPr>
        <w:rPr>
          <w:sz w:val="22"/>
        </w:rPr>
      </w:pPr>
      <w:r w:rsidRPr="001A7F0A">
        <w:rPr>
          <w:sz w:val="22"/>
        </w:rPr>
        <w:t>EPOC - Enfermedad Pulmonar Obstructiva Crónica</w:t>
      </w:r>
    </w:p>
    <w:p w14:paraId="4061B432" w14:textId="77777777" w:rsidR="00900D5B" w:rsidRPr="001A7F0A" w:rsidRDefault="00C70F0F">
      <w:pPr>
        <w:rPr>
          <w:sz w:val="22"/>
        </w:rPr>
      </w:pPr>
      <w:r w:rsidRPr="001A7F0A">
        <w:rPr>
          <w:sz w:val="22"/>
        </w:rPr>
        <w:t>INDEC - Instituto Nacional de Estadísticas y Censos</w:t>
      </w:r>
    </w:p>
    <w:p w14:paraId="7F4AB063" w14:textId="77777777" w:rsidR="00900D5B" w:rsidRPr="001A7F0A" w:rsidRDefault="00C70F0F">
      <w:pPr>
        <w:rPr>
          <w:sz w:val="22"/>
        </w:rPr>
      </w:pPr>
      <w:r w:rsidRPr="001A7F0A">
        <w:rPr>
          <w:sz w:val="22"/>
        </w:rPr>
        <w:t>EISAAR - Evaluaciones Integrales de Salud Ambiental en Áreas de Riesgo.</w:t>
      </w:r>
    </w:p>
    <w:p w14:paraId="6F5DB814" w14:textId="77777777" w:rsidR="00900D5B" w:rsidRPr="001A7F0A" w:rsidRDefault="00C70F0F">
      <w:pPr>
        <w:rPr>
          <w:sz w:val="22"/>
          <w:shd w:val="clear" w:color="auto" w:fill="FFF2CC"/>
        </w:rPr>
      </w:pPr>
      <w:r w:rsidRPr="001A7F0A">
        <w:rPr>
          <w:sz w:val="22"/>
        </w:rPr>
        <w:t>ENFR - Encuesta Nacional de Factores de Riesgo.</w:t>
      </w:r>
    </w:p>
    <w:p w14:paraId="796BC9AE" w14:textId="77777777" w:rsidR="00900D5B" w:rsidRPr="001A7F0A" w:rsidRDefault="00C70F0F">
      <w:pPr>
        <w:rPr>
          <w:sz w:val="22"/>
        </w:rPr>
      </w:pPr>
      <w:r w:rsidRPr="001A7F0A">
        <w:rPr>
          <w:sz w:val="22"/>
        </w:rPr>
        <w:t xml:space="preserve">OMS: Organización Mundial de la Salud </w:t>
      </w:r>
    </w:p>
    <w:p w14:paraId="37250023" w14:textId="77777777" w:rsidR="00900D5B" w:rsidRPr="001A7F0A" w:rsidRDefault="00C70F0F">
      <w:pPr>
        <w:rPr>
          <w:sz w:val="22"/>
        </w:rPr>
      </w:pPr>
      <w:r w:rsidRPr="001A7F0A">
        <w:rPr>
          <w:sz w:val="22"/>
        </w:rPr>
        <w:t xml:space="preserve">OPS: Organización Panamericana de la Salud </w:t>
      </w:r>
    </w:p>
    <w:p w14:paraId="21831629" w14:textId="77777777" w:rsidR="00900D5B" w:rsidRPr="001A7F0A" w:rsidRDefault="00C70F0F">
      <w:pPr>
        <w:rPr>
          <w:sz w:val="22"/>
        </w:rPr>
      </w:pPr>
      <w:r w:rsidRPr="001A7F0A">
        <w:rPr>
          <w:sz w:val="22"/>
        </w:rPr>
        <w:t xml:space="preserve">ONU: Organización de las Naciones Unidas. </w:t>
      </w:r>
    </w:p>
    <w:p w14:paraId="3CF5D566" w14:textId="77777777" w:rsidR="00900D5B" w:rsidRPr="001A7F0A" w:rsidRDefault="00C70F0F">
      <w:pPr>
        <w:rPr>
          <w:sz w:val="22"/>
        </w:rPr>
      </w:pPr>
      <w:r w:rsidRPr="001A7F0A">
        <w:rPr>
          <w:sz w:val="22"/>
        </w:rPr>
        <w:t>PBA: Provincia de Buenos Aires.</w:t>
      </w:r>
    </w:p>
    <w:p w14:paraId="3E086DDE" w14:textId="77777777" w:rsidR="00900D5B" w:rsidRPr="001A7F0A" w:rsidRDefault="00C70F0F">
      <w:pPr>
        <w:rPr>
          <w:sz w:val="22"/>
        </w:rPr>
      </w:pPr>
      <w:r w:rsidRPr="001A7F0A">
        <w:rPr>
          <w:sz w:val="22"/>
        </w:rPr>
        <w:t xml:space="preserve">PNUD: Programa de las Naciones Unidas para el desarrollo. </w:t>
      </w:r>
    </w:p>
    <w:p w14:paraId="646B9FE2" w14:textId="2C8DB547" w:rsidR="00F34663" w:rsidRPr="001A7F0A" w:rsidRDefault="00C70F0F">
      <w:pPr>
        <w:rPr>
          <w:sz w:val="22"/>
        </w:rPr>
      </w:pPr>
      <w:r w:rsidRPr="001A7F0A">
        <w:rPr>
          <w:sz w:val="22"/>
        </w:rPr>
        <w:t>RENAC - Red Nacional de Anomalías Congénitas.</w:t>
      </w:r>
    </w:p>
    <w:p w14:paraId="53702F7F" w14:textId="77777777" w:rsidR="00F34663" w:rsidRDefault="00F34663">
      <w:r>
        <w:br w:type="page"/>
      </w:r>
    </w:p>
    <w:p w14:paraId="5B7D9B75" w14:textId="30ADE3A1" w:rsidR="00900D5B" w:rsidRPr="001A7F0A" w:rsidRDefault="00B034B6" w:rsidP="00B034B6">
      <w:pPr>
        <w:pStyle w:val="Ttulo1"/>
        <w:rPr>
          <w:sz w:val="22"/>
        </w:rPr>
      </w:pPr>
      <w:bookmarkStart w:id="26" w:name="_Toc21530838"/>
      <w:r w:rsidRPr="001A7F0A">
        <w:rPr>
          <w:sz w:val="22"/>
        </w:rPr>
        <w:lastRenderedPageBreak/>
        <w:t xml:space="preserve">VI. </w:t>
      </w:r>
      <w:r w:rsidR="00C70F0F" w:rsidRPr="001A7F0A">
        <w:rPr>
          <w:sz w:val="22"/>
        </w:rPr>
        <w:t xml:space="preserve"> Fuentes consultadas</w:t>
      </w:r>
      <w:bookmarkEnd w:id="26"/>
    </w:p>
    <w:p w14:paraId="7CC1C92B" w14:textId="77777777" w:rsidR="00900D5B" w:rsidRDefault="00900D5B"/>
    <w:p w14:paraId="314F6584" w14:textId="77777777" w:rsidR="00900D5B" w:rsidRPr="001A7F0A" w:rsidRDefault="00C70F0F">
      <w:pPr>
        <w:numPr>
          <w:ilvl w:val="0"/>
          <w:numId w:val="2"/>
        </w:numPr>
        <w:rPr>
          <w:sz w:val="22"/>
        </w:rPr>
      </w:pPr>
      <w:r w:rsidRPr="001A7F0A">
        <w:rPr>
          <w:sz w:val="22"/>
        </w:rPr>
        <w:t>Censo Nacional de Población, Viviendas y Hogares del Año 2010</w:t>
      </w:r>
    </w:p>
    <w:p w14:paraId="4DF64C33" w14:textId="77777777" w:rsidR="00900D5B" w:rsidRPr="001A7F0A" w:rsidRDefault="00C70F0F">
      <w:pPr>
        <w:numPr>
          <w:ilvl w:val="0"/>
          <w:numId w:val="2"/>
        </w:numPr>
        <w:rPr>
          <w:sz w:val="22"/>
        </w:rPr>
      </w:pPr>
      <w:r w:rsidRPr="001A7F0A">
        <w:rPr>
          <w:sz w:val="22"/>
        </w:rPr>
        <w:t>Encuesta Nacional de Factores de Riesgo</w:t>
      </w:r>
    </w:p>
    <w:p w14:paraId="7CD612CC" w14:textId="77777777" w:rsidR="00900D5B" w:rsidRPr="001A7F0A" w:rsidRDefault="00C70F0F">
      <w:pPr>
        <w:numPr>
          <w:ilvl w:val="0"/>
          <w:numId w:val="2"/>
        </w:numPr>
        <w:rPr>
          <w:sz w:val="22"/>
        </w:rPr>
      </w:pPr>
      <w:bookmarkStart w:id="27" w:name="_2p2csry" w:colFirst="0" w:colLast="0"/>
      <w:bookmarkEnd w:id="27"/>
      <w:r w:rsidRPr="001A7F0A">
        <w:rPr>
          <w:sz w:val="22"/>
        </w:rPr>
        <w:t>Datos de mortalidad y natalidad de la Dirección de Estadísticas e Información en Salud.</w:t>
      </w:r>
    </w:p>
    <w:p w14:paraId="3B9C06E2" w14:textId="77777777" w:rsidR="00900D5B" w:rsidRPr="001A7F0A" w:rsidRDefault="00C70F0F">
      <w:pPr>
        <w:numPr>
          <w:ilvl w:val="0"/>
          <w:numId w:val="2"/>
        </w:numPr>
        <w:rPr>
          <w:sz w:val="22"/>
        </w:rPr>
      </w:pPr>
      <w:bookmarkStart w:id="28" w:name="_3h3jxfd8w8lg" w:colFirst="0" w:colLast="0"/>
      <w:bookmarkEnd w:id="28"/>
      <w:r w:rsidRPr="001A7F0A">
        <w:rPr>
          <w:sz w:val="22"/>
        </w:rPr>
        <w:t>Reporte Anual 2018 RENAC</w:t>
      </w:r>
    </w:p>
    <w:p w14:paraId="6CE4499F" w14:textId="7D407B00" w:rsidR="00F34663" w:rsidRPr="001A7F0A" w:rsidRDefault="00C70F0F" w:rsidP="00D01016">
      <w:pPr>
        <w:numPr>
          <w:ilvl w:val="0"/>
          <w:numId w:val="2"/>
        </w:numPr>
        <w:rPr>
          <w:sz w:val="22"/>
        </w:rPr>
      </w:pPr>
      <w:bookmarkStart w:id="29" w:name="_5ukhsyf1uvhy" w:colFirst="0" w:colLast="0"/>
      <w:bookmarkEnd w:id="29"/>
      <w:r w:rsidRPr="001A7F0A">
        <w:rPr>
          <w:sz w:val="22"/>
        </w:rPr>
        <w:t>ATLAS RENAC</w:t>
      </w:r>
    </w:p>
    <w:sectPr w:rsidR="00F34663" w:rsidRPr="001A7F0A" w:rsidSect="006941D1">
      <w:headerReference w:type="default" r:id="rId14"/>
      <w:footerReference w:type="default" r:id="rId15"/>
      <w:headerReference w:type="first" r:id="rId16"/>
      <w:footerReference w:type="first" r:id="rId17"/>
      <w:pgSz w:w="11906" w:h="16838"/>
      <w:pgMar w:top="1304" w:right="1134" w:bottom="851" w:left="1133" w:header="340"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32704" w14:textId="77777777" w:rsidR="00942DA1" w:rsidRDefault="00942DA1">
      <w:pPr>
        <w:spacing w:line="240" w:lineRule="auto"/>
      </w:pPr>
      <w:r>
        <w:separator/>
      </w:r>
    </w:p>
  </w:endnote>
  <w:endnote w:type="continuationSeparator" w:id="0">
    <w:p w14:paraId="75938163" w14:textId="77777777" w:rsidR="00942DA1" w:rsidRDefault="00942D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otham">
    <w:panose1 w:val="02000604030000020004"/>
    <w:charset w:val="00"/>
    <w:family w:val="moder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B Garamond">
    <w:altName w:val="Times New Roman"/>
    <w:charset w:val="00"/>
    <w:family w:val="auto"/>
    <w:pitch w:val="default"/>
  </w:font>
  <w:font w:name="Droid Serif">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D67FD" w14:textId="77777777" w:rsidR="00504F2E" w:rsidRDefault="00504F2E">
    <w:pPr>
      <w:pBdr>
        <w:top w:val="nil"/>
        <w:left w:val="nil"/>
        <w:bottom w:val="nil"/>
        <w:right w:val="nil"/>
        <w:between w:val="nil"/>
      </w:pBdr>
      <w:tabs>
        <w:tab w:val="center" w:pos="4419"/>
        <w:tab w:val="right" w:pos="8838"/>
      </w:tabs>
      <w:spacing w:line="240" w:lineRule="auto"/>
      <w:ind w:firstLine="0"/>
      <w:jc w:val="right"/>
      <w:rPr>
        <w:color w:val="000000"/>
        <w:sz w:val="22"/>
        <w:szCs w:val="22"/>
      </w:rPr>
    </w:pPr>
  </w:p>
  <w:p w14:paraId="6D9B1545" w14:textId="77777777" w:rsidR="00504F2E" w:rsidRDefault="00504F2E">
    <w:pPr>
      <w:pBdr>
        <w:top w:val="nil"/>
        <w:left w:val="nil"/>
        <w:bottom w:val="nil"/>
        <w:right w:val="nil"/>
        <w:between w:val="nil"/>
      </w:pBdr>
      <w:tabs>
        <w:tab w:val="center" w:pos="4419"/>
        <w:tab w:val="right" w:pos="8838"/>
      </w:tabs>
      <w:spacing w:line="240" w:lineRule="auto"/>
      <w:ind w:firstLine="0"/>
      <w:jc w:val="right"/>
      <w:rPr>
        <w:color w:val="000000"/>
        <w:sz w:val="22"/>
        <w:szCs w:val="22"/>
      </w:rPr>
    </w:pPr>
  </w:p>
  <w:p w14:paraId="1FE96ADD" w14:textId="1046974A" w:rsidR="00504F2E" w:rsidRDefault="00504F2E" w:rsidP="003270F6">
    <w:pPr>
      <w:pBdr>
        <w:top w:val="nil"/>
        <w:left w:val="nil"/>
        <w:bottom w:val="nil"/>
        <w:right w:val="nil"/>
        <w:between w:val="nil"/>
      </w:pBdr>
      <w:tabs>
        <w:tab w:val="center" w:pos="4419"/>
        <w:tab w:val="right" w:pos="8838"/>
      </w:tabs>
      <w:spacing w:line="240" w:lineRule="auto"/>
      <w:ind w:firstLine="0"/>
      <w:jc w:val="right"/>
    </w:pPr>
    <w:r>
      <w:rPr>
        <w:color w:val="000000"/>
        <w:sz w:val="22"/>
        <w:szCs w:val="22"/>
      </w:rPr>
      <w:t>Dirección de Salud y Educación Ambiental</w:t>
    </w:r>
    <w:r>
      <w:rPr>
        <w:color w:val="000000"/>
        <w:sz w:val="22"/>
        <w:szCs w:val="22"/>
      </w:rPr>
      <w:tab/>
      <w:t xml:space="preserve">Página </w:t>
    </w:r>
    <w:r>
      <w:rPr>
        <w:b/>
        <w:color w:val="000000"/>
      </w:rPr>
      <w:fldChar w:fldCharType="begin"/>
    </w:r>
    <w:r>
      <w:rPr>
        <w:b/>
        <w:color w:val="000000"/>
      </w:rPr>
      <w:instrText>PAGE</w:instrText>
    </w:r>
    <w:r>
      <w:rPr>
        <w:b/>
        <w:color w:val="000000"/>
      </w:rPr>
      <w:fldChar w:fldCharType="separate"/>
    </w:r>
    <w:r w:rsidR="00EE6998">
      <w:rPr>
        <w:b/>
        <w:noProof/>
        <w:color w:val="000000"/>
      </w:rPr>
      <w:t>5</w:t>
    </w:r>
    <w:r>
      <w:rPr>
        <w:b/>
        <w:color w:val="000000"/>
      </w:rPr>
      <w:fldChar w:fldCharType="end"/>
    </w:r>
    <w:r>
      <w:rPr>
        <w:color w:val="000000"/>
        <w:sz w:val="22"/>
        <w:szCs w:val="22"/>
      </w:rPr>
      <w:t xml:space="preserve"> de </w:t>
    </w:r>
    <w:r>
      <w:rPr>
        <w:b/>
        <w:color w:val="000000"/>
      </w:rPr>
      <w:fldChar w:fldCharType="begin"/>
    </w:r>
    <w:r>
      <w:rPr>
        <w:b/>
        <w:color w:val="000000"/>
      </w:rPr>
      <w:instrText>NUMPAGES</w:instrText>
    </w:r>
    <w:r>
      <w:rPr>
        <w:b/>
        <w:color w:val="000000"/>
      </w:rPr>
      <w:fldChar w:fldCharType="separate"/>
    </w:r>
    <w:r w:rsidR="00EE6998">
      <w:rPr>
        <w:b/>
        <w:noProof/>
        <w:color w:val="000000"/>
      </w:rPr>
      <w:t>30</w:t>
    </w:r>
    <w:r>
      <w:rPr>
        <w:b/>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EB0CA" w14:textId="77777777" w:rsidR="00504F2E" w:rsidRDefault="00504F2E">
    <w:pPr>
      <w:jc w:val="right"/>
      <w:rPr>
        <w:rFonts w:ascii="Droid Serif" w:eastAsia="Droid Serif" w:hAnsi="Droid Serif" w:cs="Droid Serif"/>
      </w:rPr>
    </w:pPr>
  </w:p>
  <w:p w14:paraId="0C40FA05" w14:textId="77777777" w:rsidR="00504F2E" w:rsidRDefault="00504F2E">
    <w:pPr>
      <w:spacing w:after="708"/>
      <w:rPr>
        <w:rFonts w:ascii="Droid Serif" w:eastAsia="Droid Serif" w:hAnsi="Droid Serif" w:cs="Droid Seri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635C9" w14:textId="77777777" w:rsidR="00942DA1" w:rsidRDefault="00942DA1">
      <w:pPr>
        <w:spacing w:line="240" w:lineRule="auto"/>
      </w:pPr>
      <w:r>
        <w:separator/>
      </w:r>
    </w:p>
  </w:footnote>
  <w:footnote w:type="continuationSeparator" w:id="0">
    <w:p w14:paraId="12572259" w14:textId="77777777" w:rsidR="00942DA1" w:rsidRDefault="00942DA1">
      <w:pPr>
        <w:spacing w:line="240" w:lineRule="auto"/>
      </w:pPr>
      <w:r>
        <w:continuationSeparator/>
      </w:r>
    </w:p>
  </w:footnote>
  <w:footnote w:id="1">
    <w:p w14:paraId="7132398A" w14:textId="77777777" w:rsidR="00504F2E" w:rsidRDefault="00504F2E" w:rsidP="004702E8">
      <w:pPr>
        <w:spacing w:line="240" w:lineRule="auto"/>
        <w:rPr>
          <w:sz w:val="16"/>
          <w:szCs w:val="16"/>
          <w:shd w:val="clear" w:color="auto" w:fill="FFF2CC"/>
        </w:rPr>
      </w:pPr>
      <w:r>
        <w:rPr>
          <w:vertAlign w:val="superscript"/>
        </w:rPr>
        <w:footnoteRef/>
      </w:r>
      <w:r>
        <w:rPr>
          <w:sz w:val="20"/>
          <w:szCs w:val="20"/>
        </w:rPr>
        <w:t xml:space="preserve"> </w:t>
      </w:r>
      <w:r>
        <w:rPr>
          <w:sz w:val="16"/>
          <w:szCs w:val="16"/>
        </w:rPr>
        <w:t xml:space="preserve">Porcentajes de población (muestra) en la Encuesta Nacional de Factores de Riesgo: 18-24: 13,4%; 25-34: 21,7%; 35-49: 27,8%; 50-64: 20,4%; 65 y más: 16,6%; población total mayor a 18 años: 32.365. </w:t>
      </w:r>
      <w:r w:rsidRPr="009A4881">
        <w:rPr>
          <w:sz w:val="16"/>
          <w:szCs w:val="16"/>
        </w:rPr>
        <w:t xml:space="preserve">Porcentajes de población de las EISAAR 2018: 18-24: 13,2%; 25-34: 16,1%; 35-49: 16,2%; 50-64: 9,3%; 65 y más: 3,5%; población total mayor a 18 años: 9992. </w:t>
      </w:r>
    </w:p>
  </w:footnote>
  <w:footnote w:id="2">
    <w:p w14:paraId="3224DAD8" w14:textId="77777777" w:rsidR="00504F2E" w:rsidRDefault="00504F2E">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sidRPr="00340E80">
        <w:rPr>
          <w:color w:val="000000"/>
          <w:sz w:val="18"/>
          <w:szCs w:val="20"/>
        </w:rPr>
        <w:t xml:space="preserve">Acta acuerdo celebrada en la Ciudad Autónoma de Buenos Aires el día 27 de septiembre del 2017, entre ASOCIACION TOXICOLOGICA ARGENTINA, SOCIEDAD ARGENTINA DE PEDIATRÍA, SOCIEDAD ARGENTINA DE MEDICINA Y LA DSyEA (ACUMAR). </w:t>
      </w:r>
    </w:p>
  </w:footnote>
  <w:footnote w:id="3">
    <w:p w14:paraId="2E0E5D02" w14:textId="4DF7A484" w:rsidR="00504F2E" w:rsidRDefault="00504F2E">
      <w:pPr>
        <w:spacing w:line="240" w:lineRule="auto"/>
        <w:rPr>
          <w:sz w:val="16"/>
          <w:szCs w:val="16"/>
          <w:shd w:val="clear" w:color="auto" w:fill="FFF2CC"/>
        </w:rPr>
      </w:pPr>
      <w:r>
        <w:rPr>
          <w:vertAlign w:val="superscript"/>
        </w:rPr>
        <w:footnoteRef/>
      </w:r>
      <w:r>
        <w:rPr>
          <w:sz w:val="20"/>
          <w:szCs w:val="20"/>
        </w:rPr>
        <w:t xml:space="preserve"> </w:t>
      </w:r>
      <w:r>
        <w:rPr>
          <w:sz w:val="16"/>
          <w:szCs w:val="16"/>
        </w:rPr>
        <w:t xml:space="preserve">Porcentajes de población (muestra) en la Encuesta Nacional de Factores de Riesgo: 18-24: 13,4%; 25-34: 21,7%; 35-49: 27,8%; 50-64: 20,4%; 65 y más: 16,6%; población total mayor a 18 años: 32.365. </w:t>
      </w:r>
      <w:r w:rsidRPr="009A4881">
        <w:rPr>
          <w:sz w:val="16"/>
          <w:szCs w:val="16"/>
        </w:rPr>
        <w:t xml:space="preserve">Porcentajes de población de las EISAAR 2018: 18-24: 13,2%; 25-34: 16,1%; 35-49: 16,2%; 50-64: 9,3%; 65 y más: 3,5%; población total mayor a 18 años: 9992.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7A2EE" w14:textId="77777777" w:rsidR="00504F2E" w:rsidRDefault="00504F2E">
    <w:r>
      <w:rPr>
        <w:noProof/>
        <w:lang w:val="es-ES"/>
      </w:rPr>
      <w:drawing>
        <wp:anchor distT="0" distB="0" distL="114300" distR="114300" simplePos="0" relativeHeight="251658240" behindDoc="0" locked="0" layoutInCell="1" hidden="0" allowOverlap="1" wp14:anchorId="79F56654" wp14:editId="675AD4AA">
          <wp:simplePos x="0" y="0"/>
          <wp:positionH relativeFrom="column">
            <wp:posOffset>-709930</wp:posOffset>
          </wp:positionH>
          <wp:positionV relativeFrom="paragraph">
            <wp:posOffset>-218440</wp:posOffset>
          </wp:positionV>
          <wp:extent cx="7543800" cy="857250"/>
          <wp:effectExtent l="0" t="0" r="0" b="0"/>
          <wp:wrapSquare wrapText="bothSides" distT="0" distB="0" distL="114300" distR="114300"/>
          <wp:docPr id="73" name="image1.jpg" descr="HOJA A4 leyenda ministerio-04"/>
          <wp:cNvGraphicFramePr/>
          <a:graphic xmlns:a="http://schemas.openxmlformats.org/drawingml/2006/main">
            <a:graphicData uri="http://schemas.openxmlformats.org/drawingml/2006/picture">
              <pic:pic xmlns:pic="http://schemas.openxmlformats.org/drawingml/2006/picture">
                <pic:nvPicPr>
                  <pic:cNvPr id="0" name="image1.jpg" descr="HOJA A4 leyenda ministerio-04"/>
                  <pic:cNvPicPr preferRelativeResize="0"/>
                </pic:nvPicPr>
                <pic:blipFill>
                  <a:blip r:embed="rId1"/>
                  <a:srcRect/>
                  <a:stretch>
                    <a:fillRect/>
                  </a:stretch>
                </pic:blipFill>
                <pic:spPr>
                  <a:xfrm>
                    <a:off x="0" y="0"/>
                    <a:ext cx="7543800" cy="85725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3F67C" w14:textId="77777777" w:rsidR="00504F2E" w:rsidRDefault="00504F2E">
    <w:pPr>
      <w:spacing w:before="708"/>
      <w:rPr>
        <w:rFonts w:ascii="Droid Serif" w:eastAsia="Droid Serif" w:hAnsi="Droid Serif" w:cs="Droid Serif"/>
      </w:rPr>
    </w:pPr>
    <w:r>
      <w:rPr>
        <w:noProof/>
        <w:lang w:val="es-ES"/>
      </w:rPr>
      <w:drawing>
        <wp:anchor distT="0" distB="0" distL="0" distR="0" simplePos="0" relativeHeight="251659264" behindDoc="0" locked="0" layoutInCell="1" hidden="0" allowOverlap="1" wp14:anchorId="4576F240" wp14:editId="7F386919">
          <wp:simplePos x="0" y="0"/>
          <wp:positionH relativeFrom="column">
            <wp:posOffset>-619124</wp:posOffset>
          </wp:positionH>
          <wp:positionV relativeFrom="paragraph">
            <wp:posOffset>-1057274</wp:posOffset>
          </wp:positionV>
          <wp:extent cx="7367588" cy="1323975"/>
          <wp:effectExtent l="0" t="0" r="0" b="0"/>
          <wp:wrapTopAndBottom distT="0" distB="0"/>
          <wp:docPr id="7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7367588" cy="13239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5097C"/>
    <w:multiLevelType w:val="multilevel"/>
    <w:tmpl w:val="001A2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4967202"/>
    <w:multiLevelType w:val="multilevel"/>
    <w:tmpl w:val="2E9A2F7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F026EE8"/>
    <w:multiLevelType w:val="multilevel"/>
    <w:tmpl w:val="20B2A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D5B"/>
    <w:rsid w:val="00006B04"/>
    <w:rsid w:val="00071D0A"/>
    <w:rsid w:val="00094E66"/>
    <w:rsid w:val="000A1590"/>
    <w:rsid w:val="000D6FAB"/>
    <w:rsid w:val="000F5481"/>
    <w:rsid w:val="00116041"/>
    <w:rsid w:val="00116C80"/>
    <w:rsid w:val="001628F3"/>
    <w:rsid w:val="00167FAA"/>
    <w:rsid w:val="001A7F0A"/>
    <w:rsid w:val="001C6C71"/>
    <w:rsid w:val="001E2C3C"/>
    <w:rsid w:val="00253A02"/>
    <w:rsid w:val="00267C10"/>
    <w:rsid w:val="002A705D"/>
    <w:rsid w:val="002D6A55"/>
    <w:rsid w:val="00301F08"/>
    <w:rsid w:val="00302BE6"/>
    <w:rsid w:val="00312953"/>
    <w:rsid w:val="0032466A"/>
    <w:rsid w:val="003270F6"/>
    <w:rsid w:val="00340E80"/>
    <w:rsid w:val="00347FE4"/>
    <w:rsid w:val="003622C8"/>
    <w:rsid w:val="003A0573"/>
    <w:rsid w:val="003B7C7E"/>
    <w:rsid w:val="003D7EE0"/>
    <w:rsid w:val="003E39C5"/>
    <w:rsid w:val="004143C4"/>
    <w:rsid w:val="004702E8"/>
    <w:rsid w:val="004F08A8"/>
    <w:rsid w:val="00504F2E"/>
    <w:rsid w:val="0053616B"/>
    <w:rsid w:val="005404F2"/>
    <w:rsid w:val="00561C1B"/>
    <w:rsid w:val="0056385F"/>
    <w:rsid w:val="005E55AE"/>
    <w:rsid w:val="00604BE3"/>
    <w:rsid w:val="006163FF"/>
    <w:rsid w:val="00665D10"/>
    <w:rsid w:val="006941D1"/>
    <w:rsid w:val="006A78F3"/>
    <w:rsid w:val="00714444"/>
    <w:rsid w:val="007152E2"/>
    <w:rsid w:val="00744077"/>
    <w:rsid w:val="00756013"/>
    <w:rsid w:val="00764EB9"/>
    <w:rsid w:val="00786F8C"/>
    <w:rsid w:val="007D5290"/>
    <w:rsid w:val="008134F5"/>
    <w:rsid w:val="00854A10"/>
    <w:rsid w:val="008A02BB"/>
    <w:rsid w:val="008C6410"/>
    <w:rsid w:val="00900D5B"/>
    <w:rsid w:val="00914BBE"/>
    <w:rsid w:val="00942DA1"/>
    <w:rsid w:val="00971F6B"/>
    <w:rsid w:val="009A4881"/>
    <w:rsid w:val="009E0CCE"/>
    <w:rsid w:val="00A45E15"/>
    <w:rsid w:val="00AF1F1F"/>
    <w:rsid w:val="00B034B6"/>
    <w:rsid w:val="00B4350F"/>
    <w:rsid w:val="00BA7367"/>
    <w:rsid w:val="00BB239F"/>
    <w:rsid w:val="00BB646F"/>
    <w:rsid w:val="00BE2B3D"/>
    <w:rsid w:val="00C06348"/>
    <w:rsid w:val="00C36885"/>
    <w:rsid w:val="00C370EB"/>
    <w:rsid w:val="00C41FB6"/>
    <w:rsid w:val="00C70F0F"/>
    <w:rsid w:val="00C8056D"/>
    <w:rsid w:val="00C82A08"/>
    <w:rsid w:val="00CC6491"/>
    <w:rsid w:val="00CC784F"/>
    <w:rsid w:val="00CD67F9"/>
    <w:rsid w:val="00CE6217"/>
    <w:rsid w:val="00D01016"/>
    <w:rsid w:val="00D431F7"/>
    <w:rsid w:val="00D474AB"/>
    <w:rsid w:val="00D539FB"/>
    <w:rsid w:val="00D77A32"/>
    <w:rsid w:val="00D94DD2"/>
    <w:rsid w:val="00D977A1"/>
    <w:rsid w:val="00DB70BE"/>
    <w:rsid w:val="00DE70CE"/>
    <w:rsid w:val="00E04015"/>
    <w:rsid w:val="00E72CD0"/>
    <w:rsid w:val="00E76BD8"/>
    <w:rsid w:val="00E944FA"/>
    <w:rsid w:val="00EB0A4F"/>
    <w:rsid w:val="00EE6998"/>
    <w:rsid w:val="00F03EC1"/>
    <w:rsid w:val="00F05996"/>
    <w:rsid w:val="00F34663"/>
    <w:rsid w:val="00F901E4"/>
    <w:rsid w:val="00FE54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7123D"/>
  <w15:docId w15:val="{609BB014-CCB6-423D-B96D-0B6C9F21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otham" w:eastAsia="Gotham" w:hAnsi="Gotham" w:cs="Gotham"/>
        <w:sz w:val="24"/>
        <w:szCs w:val="24"/>
        <w:lang w:val="es-AR" w:eastAsia="es-ES" w:bidi="ar-SA"/>
      </w:rPr>
    </w:rPrDefault>
    <w:pPrDefault>
      <w:pPr>
        <w:widowControl w:val="0"/>
        <w:spacing w:line="360" w:lineRule="auto"/>
        <w:ind w:firstLine="3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unhideWhenUsed/>
    <w:qFormat/>
    <w:pPr>
      <w:keepNext/>
      <w:keepLines/>
      <w:spacing w:before="240" w:after="40"/>
      <w:outlineLvl w:val="3"/>
    </w:pPr>
    <w:rPr>
      <w:b/>
    </w:rPr>
  </w:style>
  <w:style w:type="paragraph" w:styleId="Ttulo5">
    <w:name w:val="heading 5"/>
    <w:basedOn w:val="Normal"/>
    <w:next w:val="Normal"/>
    <w:uiPriority w:val="9"/>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ind w:firstLine="0"/>
    </w:pPr>
    <w:rPr>
      <w:rFonts w:ascii="Corbel" w:eastAsia="Corbel" w:hAnsi="Corbel" w:cs="Corbel"/>
      <w:sz w:val="22"/>
      <w:szCs w:val="22"/>
    </w:r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ind w:firstLine="0"/>
    </w:pPr>
    <w:rPr>
      <w:rFonts w:ascii="Corbel" w:eastAsia="Corbel" w:hAnsi="Corbel" w:cs="Corbel"/>
      <w:sz w:val="22"/>
      <w:szCs w:val="22"/>
    </w:rPr>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70F0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0F0F"/>
    <w:rPr>
      <w:rFonts w:ascii="Segoe UI" w:hAnsi="Segoe UI" w:cs="Segoe UI"/>
      <w:sz w:val="18"/>
      <w:szCs w:val="18"/>
    </w:rPr>
  </w:style>
  <w:style w:type="paragraph" w:styleId="TDC5">
    <w:name w:val="toc 5"/>
    <w:basedOn w:val="Normal"/>
    <w:next w:val="Normal"/>
    <w:autoRedefine/>
    <w:uiPriority w:val="39"/>
    <w:unhideWhenUsed/>
    <w:rsid w:val="001628F3"/>
    <w:pPr>
      <w:spacing w:after="100"/>
      <w:ind w:left="960"/>
    </w:pPr>
  </w:style>
  <w:style w:type="paragraph" w:styleId="TDC1">
    <w:name w:val="toc 1"/>
    <w:basedOn w:val="Normal"/>
    <w:next w:val="Normal"/>
    <w:autoRedefine/>
    <w:uiPriority w:val="39"/>
    <w:unhideWhenUsed/>
    <w:rsid w:val="001628F3"/>
    <w:pPr>
      <w:spacing w:after="100"/>
    </w:pPr>
  </w:style>
  <w:style w:type="character" w:styleId="Hipervnculo">
    <w:name w:val="Hyperlink"/>
    <w:basedOn w:val="Fuentedeprrafopredeter"/>
    <w:uiPriority w:val="99"/>
    <w:unhideWhenUsed/>
    <w:rsid w:val="001628F3"/>
    <w:rPr>
      <w:color w:val="0000FF" w:themeColor="hyperlink"/>
      <w:u w:val="single"/>
    </w:rPr>
  </w:style>
  <w:style w:type="paragraph" w:styleId="Encabezado">
    <w:name w:val="header"/>
    <w:basedOn w:val="Normal"/>
    <w:link w:val="EncabezadoCar"/>
    <w:uiPriority w:val="99"/>
    <w:unhideWhenUsed/>
    <w:rsid w:val="001628F3"/>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1628F3"/>
  </w:style>
  <w:style w:type="paragraph" w:styleId="Piedepgina">
    <w:name w:val="footer"/>
    <w:basedOn w:val="Normal"/>
    <w:link w:val="PiedepginaCar"/>
    <w:uiPriority w:val="99"/>
    <w:unhideWhenUsed/>
    <w:rsid w:val="001628F3"/>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1628F3"/>
  </w:style>
  <w:style w:type="paragraph" w:styleId="TDC2">
    <w:name w:val="toc 2"/>
    <w:basedOn w:val="Normal"/>
    <w:next w:val="Normal"/>
    <w:autoRedefine/>
    <w:uiPriority w:val="39"/>
    <w:unhideWhenUsed/>
    <w:rsid w:val="00B034B6"/>
    <w:pPr>
      <w:spacing w:after="100"/>
      <w:ind w:left="240"/>
    </w:pPr>
  </w:style>
  <w:style w:type="paragraph" w:styleId="Asuntodelcomentario">
    <w:name w:val="annotation subject"/>
    <w:basedOn w:val="Textocomentario"/>
    <w:next w:val="Textocomentario"/>
    <w:link w:val="AsuntodelcomentarioCar"/>
    <w:uiPriority w:val="99"/>
    <w:semiHidden/>
    <w:unhideWhenUsed/>
    <w:rsid w:val="00301F08"/>
    <w:rPr>
      <w:b/>
      <w:bCs/>
    </w:rPr>
  </w:style>
  <w:style w:type="character" w:customStyle="1" w:styleId="AsuntodelcomentarioCar">
    <w:name w:val="Asunto del comentario Car"/>
    <w:basedOn w:val="TextocomentarioCar"/>
    <w:link w:val="Asuntodelcomentario"/>
    <w:uiPriority w:val="99"/>
    <w:semiHidden/>
    <w:rsid w:val="00301F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AF1E4-EA1F-473E-860D-68832046A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7438</Words>
  <Characters>40915</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Olenka Codebó Ramalho Luz</dc:creator>
  <cp:lastModifiedBy>Rafael Gilman</cp:lastModifiedBy>
  <cp:revision>15</cp:revision>
  <dcterms:created xsi:type="dcterms:W3CDTF">2019-10-10T15:19:00Z</dcterms:created>
  <dcterms:modified xsi:type="dcterms:W3CDTF">2019-10-18T14:07:00Z</dcterms:modified>
</cp:coreProperties>
</file>